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7985F" w14:textId="2027D61A" w:rsidR="00374BCB" w:rsidRPr="009E7310" w:rsidRDefault="00374BCB" w:rsidP="00374BCB">
      <w:pPr>
        <w:jc w:val="both"/>
      </w:pPr>
      <w:bookmarkStart w:id="0" w:name="_GoBack"/>
      <w:bookmarkEnd w:id="0"/>
    </w:p>
    <w:p w14:paraId="36A6AFC0" w14:textId="77DFBC2D" w:rsidR="00374BCB" w:rsidRPr="00B6052B" w:rsidRDefault="00B6052B" w:rsidP="00374BCB">
      <w:pPr>
        <w:jc w:val="center"/>
        <w:rPr>
          <w:sz w:val="18"/>
          <w:szCs w:val="18"/>
        </w:rPr>
      </w:pPr>
      <w:r w:rsidRPr="00B6052B">
        <w:rPr>
          <w:sz w:val="18"/>
          <w:szCs w:val="18"/>
          <w:lang w:val="mk-MK"/>
        </w:rPr>
        <w:t>„</w:t>
      </w:r>
      <w:r w:rsidR="00F41BC0" w:rsidRPr="00B6052B">
        <w:rPr>
          <w:sz w:val="18"/>
          <w:szCs w:val="18"/>
          <w:lang w:val="mk-MK"/>
        </w:rPr>
        <w:t xml:space="preserve">Градење на општинските капацитети за </w:t>
      </w:r>
      <w:r w:rsidR="009E7310" w:rsidRPr="00B6052B">
        <w:rPr>
          <w:sz w:val="18"/>
          <w:szCs w:val="18"/>
          <w:lang w:val="mk-MK"/>
        </w:rPr>
        <w:t>имплементација на</w:t>
      </w:r>
      <w:r w:rsidR="00F41BC0" w:rsidRPr="00B6052B">
        <w:rPr>
          <w:sz w:val="18"/>
          <w:szCs w:val="18"/>
          <w:lang w:val="mk-MK"/>
        </w:rPr>
        <w:t xml:space="preserve"> проекти</w:t>
      </w:r>
      <w:r w:rsidRPr="00B6052B">
        <w:rPr>
          <w:sz w:val="18"/>
          <w:szCs w:val="18"/>
          <w:lang w:val="mk-MK"/>
        </w:rPr>
        <w:t>„</w:t>
      </w:r>
    </w:p>
    <w:p w14:paraId="33B11D4F" w14:textId="77777777" w:rsidR="00374BCB" w:rsidRPr="00B6052B" w:rsidRDefault="00374BCB" w:rsidP="00374BCB">
      <w:pPr>
        <w:jc w:val="center"/>
        <w:rPr>
          <w:b/>
          <w:sz w:val="18"/>
          <w:szCs w:val="18"/>
          <w:u w:val="single"/>
        </w:rPr>
      </w:pPr>
    </w:p>
    <w:p w14:paraId="1F518175" w14:textId="77777777" w:rsidR="00B6052B" w:rsidRDefault="00B6052B" w:rsidP="00374BCB">
      <w:pPr>
        <w:jc w:val="center"/>
        <w:rPr>
          <w:b/>
          <w:sz w:val="32"/>
          <w:szCs w:val="32"/>
          <w:lang w:val="mk-MK"/>
        </w:rPr>
      </w:pPr>
    </w:p>
    <w:p w14:paraId="2CBE4142" w14:textId="5F501C10" w:rsidR="00374BCB" w:rsidRPr="00B6052B" w:rsidRDefault="00F41BC0" w:rsidP="00374BCB">
      <w:pPr>
        <w:jc w:val="center"/>
        <w:rPr>
          <w:b/>
          <w:sz w:val="44"/>
          <w:szCs w:val="44"/>
        </w:rPr>
      </w:pPr>
      <w:r w:rsidRPr="00B6052B">
        <w:rPr>
          <w:b/>
          <w:sz w:val="44"/>
          <w:szCs w:val="44"/>
          <w:lang w:val="mk-MK"/>
        </w:rPr>
        <w:t>Втор повик за предл</w:t>
      </w:r>
      <w:r w:rsidR="001A0E18" w:rsidRPr="00B6052B">
        <w:rPr>
          <w:b/>
          <w:sz w:val="44"/>
          <w:szCs w:val="44"/>
          <w:lang w:val="mk-MK"/>
        </w:rPr>
        <w:t>ог проекти</w:t>
      </w:r>
    </w:p>
    <w:p w14:paraId="795F5D6C" w14:textId="77777777" w:rsidR="001A0E18" w:rsidRDefault="001A0E18" w:rsidP="00374BCB">
      <w:pPr>
        <w:jc w:val="center"/>
        <w:rPr>
          <w:b/>
          <w:sz w:val="24"/>
          <w:szCs w:val="24"/>
          <w:u w:val="single"/>
          <w:lang w:val="mk-MK"/>
        </w:rPr>
      </w:pPr>
    </w:p>
    <w:p w14:paraId="1E88B0DE" w14:textId="67578719" w:rsidR="001A0E18" w:rsidRPr="00B6052B" w:rsidRDefault="00F41BC0" w:rsidP="00374BCB">
      <w:pPr>
        <w:jc w:val="center"/>
        <w:rPr>
          <w:b/>
          <w:sz w:val="24"/>
          <w:szCs w:val="24"/>
          <w:lang w:val="mk-MK"/>
        </w:rPr>
      </w:pPr>
      <w:r w:rsidRPr="00B6052B">
        <w:rPr>
          <w:b/>
          <w:sz w:val="24"/>
          <w:szCs w:val="24"/>
          <w:lang w:val="mk-MK"/>
        </w:rPr>
        <w:t xml:space="preserve">Подготовка на </w:t>
      </w:r>
      <w:r w:rsidR="001A0E18" w:rsidRPr="00B6052B">
        <w:rPr>
          <w:b/>
          <w:sz w:val="24"/>
          <w:szCs w:val="24"/>
          <w:lang w:val="mk-MK"/>
        </w:rPr>
        <w:t xml:space="preserve">техничка документација за инфраструктурни </w:t>
      </w:r>
      <w:r w:rsidRPr="00B6052B">
        <w:rPr>
          <w:b/>
          <w:sz w:val="24"/>
          <w:szCs w:val="24"/>
          <w:lang w:val="mk-MK"/>
        </w:rPr>
        <w:t>проекти</w:t>
      </w:r>
      <w:r w:rsidR="00B6052B">
        <w:rPr>
          <w:b/>
          <w:sz w:val="24"/>
          <w:szCs w:val="24"/>
          <w:lang w:val="mk-MK"/>
        </w:rPr>
        <w:t>:</w:t>
      </w:r>
      <w:r w:rsidRPr="00B6052B">
        <w:rPr>
          <w:b/>
          <w:sz w:val="24"/>
          <w:szCs w:val="24"/>
          <w:lang w:val="mk-MK"/>
        </w:rPr>
        <w:t xml:space="preserve"> </w:t>
      </w:r>
    </w:p>
    <w:p w14:paraId="74201A4A" w14:textId="77777777" w:rsidR="00B6052B" w:rsidRDefault="00B6052B" w:rsidP="00374BCB">
      <w:pPr>
        <w:jc w:val="center"/>
        <w:rPr>
          <w:b/>
          <w:sz w:val="24"/>
          <w:szCs w:val="24"/>
          <w:lang w:val="mk-MK"/>
        </w:rPr>
      </w:pPr>
    </w:p>
    <w:p w14:paraId="3136CBD8" w14:textId="1C0F72F0" w:rsidR="005E7281" w:rsidRPr="00B6052B" w:rsidRDefault="00F41BC0" w:rsidP="00B6052B">
      <w:pPr>
        <w:jc w:val="center"/>
        <w:rPr>
          <w:b/>
          <w:sz w:val="24"/>
          <w:szCs w:val="24"/>
          <w:u w:val="single"/>
        </w:rPr>
      </w:pPr>
      <w:r w:rsidRPr="00B6052B">
        <w:rPr>
          <w:b/>
          <w:sz w:val="24"/>
          <w:szCs w:val="24"/>
          <w:u w:val="single"/>
          <w:lang w:val="mk-MK"/>
        </w:rPr>
        <w:t>„Фонд за техничка документација“</w:t>
      </w:r>
    </w:p>
    <w:p w14:paraId="2A476D87" w14:textId="77777777" w:rsidR="00B6052B" w:rsidRPr="00B6052B" w:rsidRDefault="00B6052B" w:rsidP="00B6052B">
      <w:pPr>
        <w:jc w:val="center"/>
        <w:rPr>
          <w:b/>
          <w:sz w:val="24"/>
          <w:szCs w:val="24"/>
          <w:lang w:val="mk-MK"/>
        </w:rPr>
      </w:pPr>
    </w:p>
    <w:p w14:paraId="11419575" w14:textId="77777777" w:rsidR="00B6052B" w:rsidRPr="00B6052B" w:rsidRDefault="00B6052B" w:rsidP="00B6052B">
      <w:pPr>
        <w:jc w:val="center"/>
        <w:rPr>
          <w:bCs/>
          <w:i/>
          <w:iCs/>
          <w:sz w:val="24"/>
          <w:szCs w:val="24"/>
          <w:lang w:val="mk-MK"/>
        </w:rPr>
      </w:pPr>
      <w:r w:rsidRPr="00B6052B">
        <w:rPr>
          <w:bCs/>
          <w:i/>
          <w:iCs/>
          <w:sz w:val="24"/>
          <w:szCs w:val="24"/>
          <w:lang w:val="mk-MK"/>
        </w:rPr>
        <w:t>Градење на капацитети во општините за изработка и имплементација на проекти за локален развој</w:t>
      </w:r>
    </w:p>
    <w:p w14:paraId="3C98106F" w14:textId="77777777" w:rsidR="005E7281" w:rsidRPr="00B6052B" w:rsidRDefault="005E7281" w:rsidP="00374BCB">
      <w:pPr>
        <w:jc w:val="center"/>
        <w:rPr>
          <w:bCs/>
          <w:i/>
          <w:iCs/>
          <w:sz w:val="32"/>
          <w:szCs w:val="32"/>
        </w:rPr>
      </w:pPr>
    </w:p>
    <w:p w14:paraId="1B7723AB" w14:textId="3532579A" w:rsidR="005E7281" w:rsidRPr="00B6052B" w:rsidRDefault="00B6052B" w:rsidP="00374BCB">
      <w:pPr>
        <w:jc w:val="center"/>
        <w:rPr>
          <w:b/>
          <w:sz w:val="18"/>
          <w:szCs w:val="18"/>
          <w:lang w:val="mk-MK"/>
        </w:rPr>
      </w:pPr>
      <w:r w:rsidRPr="00B6052B">
        <w:rPr>
          <w:b/>
          <w:sz w:val="18"/>
          <w:szCs w:val="18"/>
          <w:lang w:val="mk-MK"/>
        </w:rPr>
        <w:t>24.Јуни 2020</w:t>
      </w:r>
    </w:p>
    <w:p w14:paraId="4A368797" w14:textId="77777777" w:rsidR="005E7281" w:rsidRDefault="005E7281" w:rsidP="00374BCB">
      <w:pPr>
        <w:jc w:val="center"/>
        <w:rPr>
          <w:b/>
          <w:sz w:val="32"/>
          <w:szCs w:val="32"/>
        </w:rPr>
      </w:pPr>
    </w:p>
    <w:p w14:paraId="7C149EA6" w14:textId="77777777" w:rsidR="005E7281" w:rsidRPr="004C3A81" w:rsidRDefault="005E7281" w:rsidP="004C3A81">
      <w:pPr>
        <w:jc w:val="center"/>
        <w:rPr>
          <w:b/>
          <w:sz w:val="32"/>
        </w:rPr>
      </w:pPr>
    </w:p>
    <w:p w14:paraId="0B4A702F" w14:textId="436B0ACF" w:rsidR="00374BCB" w:rsidRPr="00F41BC0" w:rsidRDefault="00F41BC0" w:rsidP="00374BCB">
      <w:pPr>
        <w:jc w:val="center"/>
        <w:rPr>
          <w:b/>
          <w:sz w:val="40"/>
          <w:szCs w:val="40"/>
        </w:rPr>
      </w:pPr>
      <w:r w:rsidRPr="00F41BC0">
        <w:rPr>
          <w:b/>
          <w:sz w:val="40"/>
          <w:szCs w:val="40"/>
          <w:lang w:val="mk-MK"/>
        </w:rPr>
        <w:t>Насоки за барателите</w:t>
      </w:r>
    </w:p>
    <w:p w14:paraId="42A97D20" w14:textId="77777777" w:rsidR="00374BCB" w:rsidRPr="00EE14DB" w:rsidRDefault="00374BCB" w:rsidP="00374BCB">
      <w:pPr>
        <w:jc w:val="both"/>
      </w:pPr>
    </w:p>
    <w:p w14:paraId="53506F24" w14:textId="77777777" w:rsidR="00CE7359" w:rsidRPr="00EE14DB" w:rsidRDefault="00CE7359"/>
    <w:p w14:paraId="5EC78C9D" w14:textId="77777777" w:rsidR="009A06C4" w:rsidRDefault="009A06C4">
      <w:pPr>
        <w:rPr>
          <w:bCs/>
          <w:lang w:val="mk-MK"/>
        </w:rPr>
      </w:pPr>
    </w:p>
    <w:p w14:paraId="124495C5" w14:textId="77777777" w:rsidR="009A06C4" w:rsidRDefault="009A06C4">
      <w:pPr>
        <w:rPr>
          <w:bCs/>
          <w:lang w:val="mk-MK"/>
        </w:rPr>
      </w:pPr>
    </w:p>
    <w:p w14:paraId="6150B9B4" w14:textId="77777777" w:rsidR="009A06C4" w:rsidRDefault="009A06C4">
      <w:pPr>
        <w:rPr>
          <w:bCs/>
          <w:lang w:val="mk-MK"/>
        </w:rPr>
      </w:pPr>
    </w:p>
    <w:p w14:paraId="6BA17C69" w14:textId="77777777" w:rsidR="009A06C4" w:rsidRDefault="009A06C4">
      <w:pPr>
        <w:rPr>
          <w:bCs/>
          <w:lang w:val="mk-MK"/>
        </w:rPr>
      </w:pPr>
    </w:p>
    <w:p w14:paraId="75A95D02" w14:textId="77777777" w:rsidR="009A06C4" w:rsidRDefault="009A06C4">
      <w:pPr>
        <w:rPr>
          <w:bCs/>
          <w:lang w:val="mk-MK"/>
        </w:rPr>
      </w:pPr>
    </w:p>
    <w:p w14:paraId="366EC31A" w14:textId="77777777" w:rsidR="009A06C4" w:rsidRDefault="009A06C4">
      <w:pPr>
        <w:rPr>
          <w:bCs/>
          <w:lang w:val="mk-MK"/>
        </w:rPr>
      </w:pPr>
    </w:p>
    <w:p w14:paraId="6D8933C6" w14:textId="77777777" w:rsidR="009A06C4" w:rsidRDefault="009A06C4">
      <w:pPr>
        <w:rPr>
          <w:bCs/>
          <w:lang w:val="mk-MK"/>
        </w:rPr>
      </w:pPr>
    </w:p>
    <w:p w14:paraId="259D4692" w14:textId="77777777" w:rsidR="009A06C4" w:rsidRDefault="009A06C4">
      <w:pPr>
        <w:rPr>
          <w:bCs/>
          <w:lang w:val="mk-MK"/>
        </w:rPr>
      </w:pPr>
    </w:p>
    <w:p w14:paraId="77D5337E" w14:textId="77777777" w:rsidR="009A06C4" w:rsidRDefault="009A06C4">
      <w:pPr>
        <w:rPr>
          <w:bCs/>
          <w:lang w:val="mk-MK"/>
        </w:rPr>
      </w:pPr>
    </w:p>
    <w:p w14:paraId="3A89B888" w14:textId="77777777" w:rsidR="009A06C4" w:rsidRDefault="009A06C4">
      <w:pPr>
        <w:rPr>
          <w:bCs/>
          <w:lang w:val="mk-MK"/>
        </w:rPr>
      </w:pPr>
    </w:p>
    <w:p w14:paraId="4F574FE5" w14:textId="77777777" w:rsidR="009A06C4" w:rsidRDefault="009A06C4">
      <w:pPr>
        <w:rPr>
          <w:bCs/>
          <w:lang w:val="mk-MK"/>
        </w:rPr>
      </w:pPr>
    </w:p>
    <w:p w14:paraId="2EE579E5" w14:textId="77777777" w:rsidR="009A06C4" w:rsidRDefault="009A06C4">
      <w:pPr>
        <w:rPr>
          <w:bCs/>
          <w:lang w:val="mk-MK"/>
        </w:rPr>
      </w:pPr>
    </w:p>
    <w:p w14:paraId="7FD43BE9" w14:textId="77777777" w:rsidR="009A06C4" w:rsidRDefault="009A06C4">
      <w:pPr>
        <w:rPr>
          <w:bCs/>
          <w:lang w:val="mk-MK"/>
        </w:rPr>
      </w:pPr>
    </w:p>
    <w:p w14:paraId="294F1958" w14:textId="77777777" w:rsidR="009A06C4" w:rsidRDefault="009A06C4">
      <w:pPr>
        <w:rPr>
          <w:bCs/>
          <w:lang w:val="mk-MK"/>
        </w:rPr>
      </w:pPr>
    </w:p>
    <w:p w14:paraId="498CFF24" w14:textId="77777777" w:rsidR="009A06C4" w:rsidRDefault="009A06C4">
      <w:pPr>
        <w:rPr>
          <w:bCs/>
          <w:lang w:val="mk-MK"/>
        </w:rPr>
      </w:pPr>
    </w:p>
    <w:p w14:paraId="419987E9" w14:textId="77777777" w:rsidR="009A06C4" w:rsidRDefault="009A06C4">
      <w:pPr>
        <w:rPr>
          <w:bCs/>
          <w:lang w:val="mk-MK"/>
        </w:rPr>
      </w:pPr>
    </w:p>
    <w:p w14:paraId="258B3C70" w14:textId="77777777" w:rsidR="009A06C4" w:rsidRDefault="009A06C4">
      <w:pPr>
        <w:rPr>
          <w:bCs/>
          <w:lang w:val="mk-MK"/>
        </w:rPr>
      </w:pPr>
    </w:p>
    <w:p w14:paraId="603694C3" w14:textId="77777777" w:rsidR="009A06C4" w:rsidRDefault="009A06C4">
      <w:pPr>
        <w:rPr>
          <w:bCs/>
          <w:lang w:val="mk-MK"/>
        </w:rPr>
      </w:pPr>
    </w:p>
    <w:p w14:paraId="1EB95263" w14:textId="3C3747DE" w:rsidR="005E7281" w:rsidRPr="009A06C4" w:rsidRDefault="009A06C4" w:rsidP="005D448E">
      <w:pPr>
        <w:jc w:val="center"/>
        <w:rPr>
          <w:b/>
          <w:u w:val="single"/>
          <w:lang w:val="mk-MK"/>
        </w:rPr>
      </w:pPr>
      <w:r w:rsidRPr="009A06C4">
        <w:rPr>
          <w:b/>
          <w:u w:val="single"/>
          <w:lang w:val="mk-MK"/>
        </w:rPr>
        <w:t>Ве молиме детално прочитајте ги упатствата и насоките во овој документ.</w:t>
      </w:r>
    </w:p>
    <w:p w14:paraId="629BDA7B" w14:textId="5D9027E9" w:rsidR="009A06C4" w:rsidRDefault="009A06C4">
      <w:pPr>
        <w:rPr>
          <w:b/>
          <w:lang w:val="mk-MK"/>
        </w:rPr>
      </w:pPr>
    </w:p>
    <w:p w14:paraId="7E580549" w14:textId="11CFB417" w:rsidR="009A06C4" w:rsidRDefault="009A06C4">
      <w:pPr>
        <w:rPr>
          <w:b/>
          <w:lang w:val="mk-MK"/>
        </w:rPr>
      </w:pPr>
    </w:p>
    <w:p w14:paraId="683C7F7D" w14:textId="77777777" w:rsidR="009A06C4" w:rsidRPr="009A06C4" w:rsidRDefault="009A06C4">
      <w:pPr>
        <w:rPr>
          <w:b/>
          <w:lang w:val="mk-MK"/>
        </w:rPr>
      </w:pPr>
    </w:p>
    <w:p w14:paraId="309CA17C" w14:textId="7DFED2C9" w:rsidR="00F41BC0" w:rsidRPr="00F41BC0" w:rsidRDefault="00917A25" w:rsidP="00F41BC0">
      <w:pPr>
        <w:pStyle w:val="Heading1"/>
        <w:rPr>
          <w:sz w:val="22"/>
          <w:szCs w:val="22"/>
          <w:lang w:val="mk-MK"/>
        </w:rPr>
      </w:pPr>
      <w:r w:rsidRPr="00EE14DB">
        <w:t xml:space="preserve">1. </w:t>
      </w:r>
      <w:r w:rsidR="00F41BC0" w:rsidRPr="00F41BC0">
        <w:rPr>
          <w:sz w:val="22"/>
          <w:szCs w:val="22"/>
          <w:lang w:val="mk-MK"/>
        </w:rPr>
        <w:t>ОСНОВНИ ИНФОРМАЦИИ ЗА ФОНДОТ ЗА ТЕХНИЧКА ДОКУМЕНТАЦИЈА</w:t>
      </w:r>
    </w:p>
    <w:p w14:paraId="03EBD02B" w14:textId="77777777" w:rsidR="00F41BC0" w:rsidRPr="00F41BC0" w:rsidRDefault="00F41BC0" w:rsidP="00F41BC0">
      <w:pPr>
        <w:spacing w:line="280" w:lineRule="auto"/>
        <w:jc w:val="both"/>
        <w:rPr>
          <w:b/>
          <w:lang w:val="mk-MK"/>
        </w:rPr>
      </w:pPr>
    </w:p>
    <w:p w14:paraId="089DA4FE" w14:textId="77777777" w:rsidR="00F41BC0" w:rsidRPr="00F41BC0" w:rsidRDefault="00F41BC0" w:rsidP="00F41BC0">
      <w:pPr>
        <w:spacing w:line="280" w:lineRule="auto"/>
        <w:jc w:val="both"/>
        <w:rPr>
          <w:lang w:val="mk-MK"/>
        </w:rPr>
      </w:pPr>
      <w:bookmarkStart w:id="1" w:name="_Toc20757668"/>
      <w:r w:rsidRPr="00F41BC0">
        <w:rPr>
          <w:b/>
          <w:lang w:val="mk-MK"/>
        </w:rPr>
        <w:t>1.1. Историјат</w:t>
      </w:r>
      <w:bookmarkEnd w:id="1"/>
    </w:p>
    <w:p w14:paraId="5FB0C895" w14:textId="22CF4D90" w:rsidR="00756C79" w:rsidRPr="00EE14DB" w:rsidRDefault="00756C79" w:rsidP="00F41BC0">
      <w:pPr>
        <w:rPr>
          <w:b/>
        </w:rPr>
      </w:pPr>
    </w:p>
    <w:p w14:paraId="1B186A2D" w14:textId="6641EFD8" w:rsidR="00064137" w:rsidRPr="009F2D57" w:rsidRDefault="009F2D57" w:rsidP="009F2D57">
      <w:pPr>
        <w:ind w:firstLine="708"/>
        <w:jc w:val="both"/>
      </w:pPr>
      <w:r w:rsidRPr="009F2D57">
        <w:rPr>
          <w:lang w:val="mk-MK"/>
        </w:rPr>
        <w:t xml:space="preserve">Во ноември 2018 година УНДП и Шведската агенција за меѓународен развој (СИДА) го потпишаа Проектниот документ, со што се обележа почетокот на спроведувањето на Проектот „Градење </w:t>
      </w:r>
      <w:r w:rsidR="009E7310">
        <w:rPr>
          <w:lang w:val="mk-MK"/>
        </w:rPr>
        <w:t xml:space="preserve">на </w:t>
      </w:r>
      <w:r w:rsidRPr="009F2D57">
        <w:rPr>
          <w:lang w:val="mk-MK"/>
        </w:rPr>
        <w:t>општинските капацитет</w:t>
      </w:r>
      <w:r w:rsidR="009E7310">
        <w:rPr>
          <w:lang w:val="mk-MK"/>
        </w:rPr>
        <w:t>и</w:t>
      </w:r>
      <w:r w:rsidRPr="009F2D57">
        <w:rPr>
          <w:lang w:val="mk-MK"/>
        </w:rPr>
        <w:t xml:space="preserve"> за </w:t>
      </w:r>
      <w:r w:rsidR="009E7310">
        <w:rPr>
          <w:lang w:val="mk-MK"/>
        </w:rPr>
        <w:t>имплементација на</w:t>
      </w:r>
      <w:r w:rsidRPr="009F2D57">
        <w:rPr>
          <w:lang w:val="mk-MK"/>
        </w:rPr>
        <w:t xml:space="preserve"> проекти“.</w:t>
      </w:r>
      <w:r w:rsidR="00756C79" w:rsidRPr="009F2D57">
        <w:t xml:space="preserve"> </w:t>
      </w:r>
      <w:r w:rsidRPr="009F2D57">
        <w:rPr>
          <w:lang w:val="mk-MK"/>
        </w:rPr>
        <w:t xml:space="preserve">Една од трите главни цели на овој проект е да се „проектира, воспостави и менаџира со </w:t>
      </w:r>
      <w:r w:rsidR="00DC4340" w:rsidRPr="009F2D57">
        <w:rPr>
          <w:lang w:val="mk-MK"/>
        </w:rPr>
        <w:t xml:space="preserve">Фондот </w:t>
      </w:r>
      <w:r w:rsidRPr="009F2D57">
        <w:rPr>
          <w:lang w:val="mk-MK"/>
        </w:rPr>
        <w:t xml:space="preserve">за техничка документација што ќе ги обезбеди финансиските </w:t>
      </w:r>
      <w:r w:rsidR="00C50996">
        <w:rPr>
          <w:lang w:val="mk-MK"/>
        </w:rPr>
        <w:t>средства</w:t>
      </w:r>
      <w:r w:rsidRPr="009F2D57">
        <w:rPr>
          <w:lang w:val="mk-MK"/>
        </w:rPr>
        <w:t xml:space="preserve"> што им се потребни на помалку развиените општини за да ги направат неопходните подготвителни активности (вклучително урбанистичките планови) за изработка на проекти коишто можат да конкурираат за фондови на ЕУ, државата или донатори, било преку директни грантови или за кредити со ниски камати.“</w:t>
      </w:r>
      <w:r w:rsidR="00AF7F3C">
        <w:rPr>
          <w:lang w:val="mk-MK"/>
        </w:rPr>
        <w:t xml:space="preserve"> </w:t>
      </w:r>
      <w:r w:rsidRPr="009F2D57">
        <w:rPr>
          <w:lang w:val="mk-MK"/>
        </w:rPr>
        <w:t xml:space="preserve">Со отворањето на преговорите за пристапување во ЕУ, после одлуките на Советот за општи прашања во март 2020 година и нивното </w:t>
      </w:r>
      <w:r w:rsidR="00AF7F3C">
        <w:rPr>
          <w:lang w:val="mk-MK"/>
        </w:rPr>
        <w:t xml:space="preserve">потврдување </w:t>
      </w:r>
      <w:r w:rsidRPr="009F2D57">
        <w:rPr>
          <w:lang w:val="mk-MK"/>
        </w:rPr>
        <w:t xml:space="preserve">од </w:t>
      </w:r>
      <w:r w:rsidR="00AF7F3C">
        <w:rPr>
          <w:lang w:val="mk-MK"/>
        </w:rPr>
        <w:t xml:space="preserve">страна на </w:t>
      </w:r>
      <w:r w:rsidRPr="009F2D57">
        <w:rPr>
          <w:lang w:val="mk-MK"/>
        </w:rPr>
        <w:t>Европскиот совет, перспективите на Северна Македонија</w:t>
      </w:r>
      <w:r w:rsidR="00AF7F3C">
        <w:rPr>
          <w:lang w:val="mk-MK"/>
        </w:rPr>
        <w:t>,</w:t>
      </w:r>
      <w:r w:rsidRPr="009F2D57">
        <w:rPr>
          <w:lang w:val="mk-MK"/>
        </w:rPr>
        <w:t xml:space="preserve"> со кои се засили нејзината улога како земја корисничка на развојните фондови на ЕУ</w:t>
      </w:r>
      <w:r w:rsidR="00AF7F3C">
        <w:rPr>
          <w:lang w:val="mk-MK"/>
        </w:rPr>
        <w:t>,</w:t>
      </w:r>
      <w:r w:rsidRPr="009F2D57">
        <w:rPr>
          <w:lang w:val="mk-MK"/>
        </w:rPr>
        <w:t xml:space="preserve"> станаа посуштински.</w:t>
      </w:r>
      <w:r w:rsidR="00064137" w:rsidRPr="009F2D57">
        <w:t xml:space="preserve"> </w:t>
      </w:r>
      <w:r w:rsidRPr="009F2D57">
        <w:rPr>
          <w:lang w:val="mk-MK"/>
        </w:rPr>
        <w:t xml:space="preserve">Од овие причини релевантноста да се има добро подготвени развојни проекти </w:t>
      </w:r>
      <w:r w:rsidR="00AF7F3C">
        <w:rPr>
          <w:lang w:val="mk-MK"/>
        </w:rPr>
        <w:t>се зголеми</w:t>
      </w:r>
      <w:r w:rsidRPr="009F2D57">
        <w:rPr>
          <w:lang w:val="mk-MK"/>
        </w:rPr>
        <w:t>.</w:t>
      </w:r>
      <w:r w:rsidR="00AF7F3C">
        <w:rPr>
          <w:lang w:val="mk-MK"/>
        </w:rPr>
        <w:t xml:space="preserve"> </w:t>
      </w:r>
    </w:p>
    <w:p w14:paraId="19A538F0" w14:textId="6B2C54C6" w:rsidR="00756C79" w:rsidRPr="009F2D57" w:rsidRDefault="009F2D57" w:rsidP="009F2D57">
      <w:pPr>
        <w:ind w:firstLine="708"/>
        <w:jc w:val="both"/>
      </w:pPr>
      <w:r w:rsidRPr="009F2D57">
        <w:rPr>
          <w:lang w:val="mk-MK"/>
        </w:rPr>
        <w:t>Од Проектот исто така се очекува да воспостави Индекс на развиеност на општините, алатка којашто ќе ѝ помогне на Владата, донаторите и други засегнати страни во регионалната развојна политика да одредат кои се помалку развиените општини согласно групата индикатори, врз основа на статистичките и други официјално достапни податоци.</w:t>
      </w:r>
      <w:r w:rsidR="0028556A" w:rsidRPr="009F2D57">
        <w:t xml:space="preserve"> </w:t>
      </w:r>
      <w:r w:rsidRPr="009F2D57">
        <w:rPr>
          <w:lang w:val="mk-MK"/>
        </w:rPr>
        <w:t>Вклучувањето на родовите аспекти во главните политики ќе биде опфатено во сите аспекти на спроведувањето на проектот</w:t>
      </w:r>
      <w:r w:rsidR="00AF7F3C">
        <w:rPr>
          <w:lang w:val="mk-MK"/>
        </w:rPr>
        <w:t>,</w:t>
      </w:r>
      <w:r w:rsidRPr="009F2D57">
        <w:rPr>
          <w:lang w:val="mk-MK"/>
        </w:rPr>
        <w:t xml:space="preserve"> како и родово разделените податоци за да се идентификуваат различните потреби и приоритети за мажите и жените.</w:t>
      </w:r>
    </w:p>
    <w:p w14:paraId="73A1B92A" w14:textId="7886384D" w:rsidR="00121CAA" w:rsidRDefault="009F2D57" w:rsidP="009F2D57">
      <w:pPr>
        <w:ind w:firstLine="708"/>
        <w:jc w:val="both"/>
      </w:pPr>
      <w:r w:rsidRPr="009F2D57">
        <w:rPr>
          <w:lang w:val="mk-MK"/>
        </w:rPr>
        <w:t xml:space="preserve">Резултатите од </w:t>
      </w:r>
      <w:r w:rsidR="00AF7F3C" w:rsidRPr="009F2D57">
        <w:rPr>
          <w:lang w:val="mk-MK"/>
        </w:rPr>
        <w:t xml:space="preserve">Првиот </w:t>
      </w:r>
      <w:r w:rsidRPr="009F2D57">
        <w:rPr>
          <w:lang w:val="mk-MK"/>
        </w:rPr>
        <w:t>повик за предлози може да се најд</w:t>
      </w:r>
      <w:r w:rsidR="00AF7F3C">
        <w:rPr>
          <w:lang w:val="mk-MK"/>
        </w:rPr>
        <w:t>ат</w:t>
      </w:r>
      <w:r w:rsidRPr="009F2D57">
        <w:rPr>
          <w:lang w:val="mk-MK"/>
        </w:rPr>
        <w:t xml:space="preserve"> на </w:t>
      </w:r>
      <w:hyperlink r:id="rId11" w:history="1">
        <w:r w:rsidR="00AF7F3C" w:rsidRPr="001C54EA">
          <w:rPr>
            <w:rStyle w:val="Hyperlink"/>
            <w:lang w:val="mk-MK"/>
          </w:rPr>
          <w:t>https://golocal.mk/wp-content/uploads/2020/03/Rezultati-od-prviot-povik-1.pdf</w:t>
        </w:r>
      </w:hyperlink>
      <w:r w:rsidRPr="009F2D57">
        <w:rPr>
          <w:lang w:val="mk-MK"/>
        </w:rPr>
        <w:t>.</w:t>
      </w:r>
      <w:r w:rsidR="00AF7F3C">
        <w:rPr>
          <w:lang w:val="mk-MK"/>
        </w:rPr>
        <w:t xml:space="preserve"> Земајќи ги во предвид повратните информации од (потенцијалните) баратели и други институции, проектниот тим одлучи на следниов начин да го ажурира Вториот повик и да ги воведе следниве промени</w:t>
      </w:r>
      <w:r w:rsidR="00121CAA">
        <w:t>:</w:t>
      </w:r>
    </w:p>
    <w:p w14:paraId="495AC4C3" w14:textId="05113443" w:rsidR="009F2D57" w:rsidRPr="009F2D57" w:rsidRDefault="009F2D57" w:rsidP="009F2D57">
      <w:pPr>
        <w:pStyle w:val="ListParagraph"/>
        <w:numPr>
          <w:ilvl w:val="0"/>
          <w:numId w:val="27"/>
        </w:numPr>
        <w:ind w:left="426"/>
        <w:jc w:val="both"/>
      </w:pPr>
      <w:r w:rsidRPr="009F2D57">
        <w:rPr>
          <w:lang w:val="mk-MK"/>
        </w:rPr>
        <w:t>Јавните претпријатија за комунални дејности и други јавни субјекти во сопственост или под контрола на општините имаат право да се дел од пријавите како партнери за спроведува</w:t>
      </w:r>
      <w:r w:rsidR="007707BE">
        <w:rPr>
          <w:lang w:val="mk-MK"/>
        </w:rPr>
        <w:t>ње</w:t>
      </w:r>
      <w:r w:rsidRPr="009F2D57">
        <w:rPr>
          <w:lang w:val="mk-MK"/>
        </w:rPr>
        <w:t>, но ова партнерство не може да акумулира дополнителни средства</w:t>
      </w:r>
      <w:r w:rsidR="007707BE">
        <w:rPr>
          <w:lang w:val="mk-MK"/>
        </w:rPr>
        <w:t xml:space="preserve"> од грантови,</w:t>
      </w:r>
      <w:r w:rsidRPr="009F2D57">
        <w:rPr>
          <w:lang w:val="mk-MK"/>
        </w:rPr>
        <w:t xml:space="preserve"> како во случајот со меѓуопштинската соработка</w:t>
      </w:r>
      <w:r w:rsidR="006002A4">
        <w:rPr>
          <w:lang w:val="mk-MK"/>
        </w:rPr>
        <w:t>. Јавно комунално претпријатие може да биде корисник на проектот, но апликацијата мора да ја поднесе општината</w:t>
      </w:r>
      <w:r w:rsidRPr="009F2D57">
        <w:rPr>
          <w:lang w:val="mk-MK"/>
        </w:rPr>
        <w:t>;</w:t>
      </w:r>
    </w:p>
    <w:p w14:paraId="533D6803" w14:textId="137DA6AC" w:rsidR="009F2D57" w:rsidRPr="00A82375" w:rsidRDefault="00A82375" w:rsidP="00A82375">
      <w:pPr>
        <w:pStyle w:val="ListParagraph"/>
        <w:numPr>
          <w:ilvl w:val="0"/>
          <w:numId w:val="27"/>
        </w:numPr>
        <w:ind w:left="426"/>
        <w:jc w:val="both"/>
      </w:pPr>
      <w:r w:rsidRPr="00A82375">
        <w:rPr>
          <w:lang w:val="mk-MK"/>
        </w:rPr>
        <w:t xml:space="preserve">Центрите за развој на планските региони (во понатамошниот текст „Регионалните центри“) сега имаат право да се пријават и нивните пријави ќе се сметаат </w:t>
      </w:r>
      <w:r w:rsidR="00860A0D">
        <w:rPr>
          <w:lang w:val="mk-MK"/>
        </w:rPr>
        <w:t>за</w:t>
      </w:r>
      <w:r w:rsidRPr="00A82375">
        <w:rPr>
          <w:lang w:val="mk-MK"/>
        </w:rPr>
        <w:t xml:space="preserve"> регионални и меѓуопштински проекти на соработка</w:t>
      </w:r>
      <w:r w:rsidR="009C572D">
        <w:rPr>
          <w:lang w:val="mk-MK"/>
        </w:rPr>
        <w:t xml:space="preserve"> согласно посебна листа на критериуми</w:t>
      </w:r>
      <w:r w:rsidRPr="00A82375">
        <w:rPr>
          <w:lang w:val="mk-MK"/>
        </w:rPr>
        <w:t>.</w:t>
      </w:r>
      <w:r w:rsidRPr="00A82375">
        <w:t xml:space="preserve"> </w:t>
      </w:r>
    </w:p>
    <w:p w14:paraId="6E40BF6B" w14:textId="063DFC29" w:rsidR="00A82375" w:rsidRDefault="00A82375" w:rsidP="00A82375">
      <w:pPr>
        <w:pStyle w:val="ListParagraph"/>
        <w:numPr>
          <w:ilvl w:val="0"/>
          <w:numId w:val="27"/>
        </w:numPr>
        <w:ind w:left="426"/>
        <w:jc w:val="both"/>
      </w:pPr>
      <w:r w:rsidRPr="00A82375">
        <w:rPr>
          <w:lang w:val="mk-MK"/>
        </w:rPr>
        <w:t xml:space="preserve">Општините коишто веќе поднеле пријави </w:t>
      </w:r>
      <w:r w:rsidR="007707BE">
        <w:rPr>
          <w:lang w:val="mk-MK"/>
        </w:rPr>
        <w:t>за</w:t>
      </w:r>
      <w:r w:rsidRPr="00A82375">
        <w:rPr>
          <w:lang w:val="mk-MK"/>
        </w:rPr>
        <w:t xml:space="preserve"> Првиот повик (успешно или не) можат повторно да се пријават за секој квалификуван модалитет, но приоритет при оценувањето и </w:t>
      </w:r>
      <w:r w:rsidRPr="00A82375">
        <w:rPr>
          <w:lang w:val="mk-MK"/>
        </w:rPr>
        <w:lastRenderedPageBreak/>
        <w:t>доделувањето</w:t>
      </w:r>
      <w:r w:rsidR="00860A0D">
        <w:rPr>
          <w:lang w:val="mk-MK"/>
        </w:rPr>
        <w:t xml:space="preserve"> на средства</w:t>
      </w:r>
      <w:r w:rsidRPr="00A82375">
        <w:rPr>
          <w:lang w:val="mk-MK"/>
        </w:rPr>
        <w:t xml:space="preserve"> ќе им се даде на оние што претходно не се имаат пријавено</w:t>
      </w:r>
      <w:r w:rsidR="00860A0D">
        <w:rPr>
          <w:lang w:val="mk-MK"/>
        </w:rPr>
        <w:t>,</w:t>
      </w:r>
      <w:r w:rsidRPr="00A82375">
        <w:rPr>
          <w:lang w:val="mk-MK"/>
        </w:rPr>
        <w:t xml:space="preserve"> ниту добиле поддршка во првиот Повик.</w:t>
      </w:r>
      <w:r w:rsidRPr="00A82375">
        <w:t xml:space="preserve"> </w:t>
      </w:r>
    </w:p>
    <w:p w14:paraId="59AF52F3" w14:textId="77777777" w:rsidR="009C572D" w:rsidRDefault="009C572D" w:rsidP="00A82375">
      <w:pPr>
        <w:jc w:val="both"/>
        <w:rPr>
          <w:lang w:val="mk-MK"/>
        </w:rPr>
      </w:pPr>
    </w:p>
    <w:p w14:paraId="192CAB88" w14:textId="4DFAFE57" w:rsidR="008F0FE8" w:rsidRPr="00CB678F" w:rsidRDefault="00A82375" w:rsidP="00A82375">
      <w:pPr>
        <w:jc w:val="both"/>
        <w:rPr>
          <w:lang w:val="mk-MK"/>
        </w:rPr>
      </w:pPr>
      <w:r w:rsidRPr="00A82375">
        <w:rPr>
          <w:lang w:val="mk-MK"/>
        </w:rPr>
        <w:t>Меѓутоа, квалитетот на проектните предлози и на нивната релевантност и понатаму е најважниот критериум при изборот.</w:t>
      </w:r>
      <w:r w:rsidR="009C572D">
        <w:rPr>
          <w:lang w:val="mk-MK"/>
        </w:rPr>
        <w:t xml:space="preserve"> За сите прашања во врска со квалификуваноста ве молиме посетете ја страницата за Често поставувани прашања на проектниот вебсајт</w:t>
      </w:r>
      <w:r w:rsidR="00296AF1" w:rsidRPr="00A82375">
        <w:t xml:space="preserve"> </w:t>
      </w:r>
      <w:hyperlink r:id="rId12" w:history="1">
        <w:r w:rsidR="009C572D" w:rsidRPr="000511E3">
          <w:rPr>
            <w:rStyle w:val="Hyperlink"/>
            <w:lang w:val="hr-HR"/>
          </w:rPr>
          <w:t>www.lokalenrazvoj.mk</w:t>
        </w:r>
      </w:hyperlink>
      <w:r w:rsidR="009C572D">
        <w:rPr>
          <w:lang w:val="hr-HR"/>
        </w:rPr>
        <w:t xml:space="preserve">. </w:t>
      </w:r>
    </w:p>
    <w:p w14:paraId="72860150" w14:textId="77777777" w:rsidR="004C2630" w:rsidRPr="00EE14DB" w:rsidRDefault="004C2630" w:rsidP="0099725C">
      <w:pPr>
        <w:ind w:left="426"/>
      </w:pPr>
    </w:p>
    <w:p w14:paraId="19ED47C3" w14:textId="38B277C9" w:rsidR="00917A25" w:rsidRPr="00A82375" w:rsidRDefault="00A82375" w:rsidP="00A82375">
      <w:pPr>
        <w:rPr>
          <w:b/>
          <w:lang w:val="mk-MK"/>
        </w:rPr>
      </w:pPr>
      <w:r w:rsidRPr="00A82375">
        <w:rPr>
          <w:b/>
          <w:lang w:val="mk-MK"/>
        </w:rPr>
        <w:t>1.2. Принципи, цели и приоритети на Фондот</w:t>
      </w:r>
    </w:p>
    <w:p w14:paraId="3EE6B452" w14:textId="77777777" w:rsidR="00917A25" w:rsidRPr="00EE14DB" w:rsidRDefault="00917A25"/>
    <w:p w14:paraId="33A07546" w14:textId="5F073F7C" w:rsidR="00917A25" w:rsidRPr="00EE14DB" w:rsidRDefault="00A82375" w:rsidP="00A82375">
      <w:pPr>
        <w:ind w:firstLine="708"/>
        <w:jc w:val="both"/>
      </w:pPr>
      <w:r w:rsidRPr="00A82375">
        <w:rPr>
          <w:lang w:val="mk-MK"/>
        </w:rPr>
        <w:t>Како што е идентификувано во гореспоменатиот проектен документ, еден од најголемите проблеми со коишто се соочени општините во Северна Македонија во еден типичен проектен циклус</w:t>
      </w:r>
      <w:r w:rsidRPr="00A82375">
        <w:rPr>
          <w:vertAlign w:val="superscript"/>
          <w:lang w:val="mk-MK"/>
        </w:rPr>
        <w:footnoteReference w:id="2"/>
      </w:r>
      <w:r w:rsidRPr="00A82375">
        <w:rPr>
          <w:lang w:val="mk-MK"/>
        </w:rPr>
        <w:t xml:space="preserve"> е фаза</w:t>
      </w:r>
      <w:r w:rsidR="00642110">
        <w:rPr>
          <w:lang w:val="mk-MK"/>
        </w:rPr>
        <w:t>та</w:t>
      </w:r>
      <w:r w:rsidRPr="00A82375">
        <w:rPr>
          <w:lang w:val="mk-MK"/>
        </w:rPr>
        <w:t xml:space="preserve"> на „формулирање“.</w:t>
      </w:r>
      <w:r w:rsidR="00917A25" w:rsidRPr="00A82375">
        <w:t xml:space="preserve"> </w:t>
      </w:r>
      <w:r w:rsidRPr="00A82375">
        <w:rPr>
          <w:lang w:val="mk-MK"/>
        </w:rPr>
        <w:t xml:space="preserve">Оваа фаза во проектниот циклус бара сложена подготовка на развојни проекти за да се добијат финансиски средства, особено оние проекти коишто обезбедуваат долгорочни бенефиции и влијание (покрај просечниот политички мандат). </w:t>
      </w:r>
      <w:r w:rsidR="00917A25" w:rsidRPr="00A82375">
        <w:t xml:space="preserve"> </w:t>
      </w:r>
      <w:r w:rsidRPr="00A82375">
        <w:rPr>
          <w:lang w:val="mk-MK"/>
        </w:rPr>
        <w:t>Исто така</w:t>
      </w:r>
      <w:r w:rsidR="009C572D">
        <w:rPr>
          <w:lang w:val="mk-MK"/>
        </w:rPr>
        <w:t>,</w:t>
      </w:r>
      <w:r w:rsidRPr="00A82375">
        <w:rPr>
          <w:lang w:val="mk-MK"/>
        </w:rPr>
        <w:t xml:space="preserve"> треба да се земат во предвид сите други фази од проектниот циклус и затоа еден зајакнат капацитет за формулирање на квалитетни развојни проекти ќе придонесе за подобрување на капацитетот за справување со целокупниот проектен циклус.</w:t>
      </w:r>
      <w:r w:rsidR="00917A25" w:rsidRPr="00A82375">
        <w:t xml:space="preserve"> </w:t>
      </w:r>
      <w:r w:rsidRPr="00A82375">
        <w:rPr>
          <w:lang w:val="mk-MK"/>
        </w:rPr>
        <w:t>Проектните документи како што се бизнис плановите, студиите за изводливост, проценката на влијанието врз животната средина, градежните проекти (сите фази, вклучително инженерски работи, електрични инсталации, греење и водоинсталатерство, итн.), архитектонските и урбаните/руралните планови и студии за планирање,  предмерот и сличн</w:t>
      </w:r>
      <w:r w:rsidR="00642110">
        <w:rPr>
          <w:lang w:val="mk-MK"/>
        </w:rPr>
        <w:t>о,</w:t>
      </w:r>
      <w:r w:rsidRPr="00A82375">
        <w:rPr>
          <w:lang w:val="mk-MK"/>
        </w:rPr>
        <w:t xml:space="preserve"> бараат значителни ресурси.</w:t>
      </w:r>
      <w:r w:rsidR="00917A25" w:rsidRPr="00A82375">
        <w:t xml:space="preserve"> </w:t>
      </w:r>
      <w:r w:rsidRPr="00A82375">
        <w:rPr>
          <w:lang w:val="mk-MK"/>
        </w:rPr>
        <w:t>Ова значи дека посилни напори во фазата на формулирање за веродостојни развојни проекти може да предизвикаат несразмерно поголемо позитивно влијание во развојот откако ќе бидат спроведени.</w:t>
      </w:r>
      <w:r w:rsidR="00576C7D" w:rsidRPr="00A82375">
        <w:t xml:space="preserve"> </w:t>
      </w:r>
      <w:r w:rsidRPr="00A82375">
        <w:rPr>
          <w:lang w:val="mk-MK"/>
        </w:rPr>
        <w:t xml:space="preserve">Ова особено се однесува на </w:t>
      </w:r>
      <w:r w:rsidR="009C572D">
        <w:rPr>
          <w:lang w:val="mk-MK"/>
        </w:rPr>
        <w:t xml:space="preserve">регионалните и </w:t>
      </w:r>
      <w:r w:rsidRPr="00A82375">
        <w:rPr>
          <w:lang w:val="mk-MK"/>
        </w:rPr>
        <w:t>заедничките проекти кои опфаќаат две или повеќе општини каде Регионалните центри можат да преземат водечка улога во фазата на формулирање</w:t>
      </w:r>
      <w:r w:rsidR="00642110">
        <w:rPr>
          <w:lang w:val="mk-MK"/>
        </w:rPr>
        <w:t>,</w:t>
      </w:r>
      <w:r w:rsidRPr="00A82375">
        <w:rPr>
          <w:lang w:val="mk-MK"/>
        </w:rPr>
        <w:t xml:space="preserve"> </w:t>
      </w:r>
      <w:r w:rsidR="009C572D">
        <w:rPr>
          <w:lang w:val="mk-MK"/>
        </w:rPr>
        <w:t xml:space="preserve">како и на набавка </w:t>
      </w:r>
      <w:r w:rsidRPr="00A82375">
        <w:rPr>
          <w:lang w:val="mk-MK"/>
        </w:rPr>
        <w:t xml:space="preserve">и спроведување, при што се очекува да има трансфер на знаење и вештини на општинско ниво преку активно учество. </w:t>
      </w:r>
      <w:r w:rsidR="00296AF1" w:rsidRPr="00A82375">
        <w:t xml:space="preserve"> </w:t>
      </w:r>
    </w:p>
    <w:p w14:paraId="2DBFBCD9" w14:textId="5382C6B7" w:rsidR="00917A25" w:rsidRPr="00EE14DB" w:rsidRDefault="00A82375" w:rsidP="003D0A08">
      <w:pPr>
        <w:ind w:firstLine="708"/>
        <w:jc w:val="both"/>
      </w:pPr>
      <w:r w:rsidRPr="00A82375">
        <w:rPr>
          <w:lang w:val="mk-MK"/>
        </w:rPr>
        <w:t xml:space="preserve">Целта на Фондот за техничка документација е да се зголеми капацитетот на општините за да се подготват основни и посложени (инфраструктурни) развојни проекти коишто ќе бидат </w:t>
      </w:r>
      <w:r w:rsidR="002C0CF9">
        <w:rPr>
          <w:lang w:val="mk-MK"/>
        </w:rPr>
        <w:t>подготвени</w:t>
      </w:r>
      <w:r w:rsidRPr="00A82375">
        <w:rPr>
          <w:lang w:val="mk-MK"/>
        </w:rPr>
        <w:t xml:space="preserve"> за финансирање од други извори.</w:t>
      </w:r>
      <w:r w:rsidR="00917A25" w:rsidRPr="00A82375">
        <w:t xml:space="preserve"> </w:t>
      </w:r>
    </w:p>
    <w:p w14:paraId="2FBC9013" w14:textId="2359BFFD" w:rsidR="00917A25" w:rsidRPr="00A82375" w:rsidRDefault="00A82375" w:rsidP="00A82375">
      <w:pPr>
        <w:jc w:val="both"/>
      </w:pPr>
      <w:r w:rsidRPr="00A82375">
        <w:rPr>
          <w:lang w:val="mk-MK"/>
        </w:rPr>
        <w:t>Конкретните цели на Фондот за техничка документација се:</w:t>
      </w:r>
    </w:p>
    <w:p w14:paraId="64BB140E" w14:textId="45270149" w:rsidR="00A82375" w:rsidRPr="00A82375" w:rsidRDefault="00A82375" w:rsidP="00A82375">
      <w:pPr>
        <w:numPr>
          <w:ilvl w:val="0"/>
          <w:numId w:val="1"/>
        </w:numPr>
        <w:jc w:val="both"/>
      </w:pPr>
      <w:r w:rsidRPr="00A82375">
        <w:rPr>
          <w:lang w:val="mk-MK"/>
        </w:rPr>
        <w:t>да се зајакне општинскиот капацитет за развој, финансирање и спроведување квалитетни проекти за локален развој, како и да се развие нивниот капацитет за учество во сите фази од посложени проекти што придонесуваат за поширок регионален развој;</w:t>
      </w:r>
    </w:p>
    <w:p w14:paraId="31C10FB9" w14:textId="04692617" w:rsidR="00A82375" w:rsidRPr="00A82375" w:rsidRDefault="00A82375" w:rsidP="00A82375">
      <w:pPr>
        <w:numPr>
          <w:ilvl w:val="0"/>
          <w:numId w:val="1"/>
        </w:numPr>
        <w:jc w:val="both"/>
      </w:pPr>
      <w:r w:rsidRPr="00A82375">
        <w:rPr>
          <w:lang w:val="mk-MK"/>
        </w:rPr>
        <w:t>итно да им се обезбедат финансиски средства на оние на коишто најмногу им се потребни во подготовката на развојни проекти, во очекување на нови инструменти за финансирање за оваа цел;</w:t>
      </w:r>
    </w:p>
    <w:p w14:paraId="3BCA8D50" w14:textId="50E6E84B" w:rsidR="00A82375" w:rsidRPr="00A82375" w:rsidRDefault="00A82375" w:rsidP="00A82375">
      <w:pPr>
        <w:numPr>
          <w:ilvl w:val="0"/>
          <w:numId w:val="1"/>
        </w:numPr>
        <w:jc w:val="both"/>
      </w:pPr>
      <w:r w:rsidRPr="00A82375">
        <w:rPr>
          <w:lang w:val="mk-MK"/>
        </w:rPr>
        <w:t xml:space="preserve">да се промовираат Индексот на развиеност на општините и Целите за одржлив развој (ЦОР), како и индикаторите поврзани со нив како елементи за планирање и </w:t>
      </w:r>
      <w:r w:rsidRPr="00A82375">
        <w:rPr>
          <w:lang w:val="mk-MK"/>
        </w:rPr>
        <w:lastRenderedPageBreak/>
        <w:t>спроведување на балансирани и одржливи политики и мерки за регионален и рурален развој.</w:t>
      </w:r>
    </w:p>
    <w:p w14:paraId="3191ECE5" w14:textId="4E49F94F" w:rsidR="00A82375" w:rsidRPr="00FC4388" w:rsidRDefault="00FC4388" w:rsidP="00FC4388">
      <w:pPr>
        <w:numPr>
          <w:ilvl w:val="0"/>
          <w:numId w:val="1"/>
        </w:numPr>
        <w:jc w:val="both"/>
      </w:pPr>
      <w:r w:rsidRPr="00FC4388">
        <w:rPr>
          <w:lang w:val="mk-MK"/>
        </w:rPr>
        <w:t>дополнително да се подобри квалитетот на живот</w:t>
      </w:r>
      <w:r w:rsidR="002C0CF9">
        <w:rPr>
          <w:lang w:val="mk-MK"/>
        </w:rPr>
        <w:t>от</w:t>
      </w:r>
      <w:r w:rsidRPr="00FC4388">
        <w:rPr>
          <w:lang w:val="mk-MK"/>
        </w:rPr>
        <w:t xml:space="preserve"> и на жените и на мажите, пред с</w:t>
      </w:r>
      <w:r w:rsidRPr="00FC4388">
        <w:rPr>
          <w:rFonts w:cstheme="minorHAnsi"/>
          <w:lang w:val="mk-MK"/>
        </w:rPr>
        <w:t>è во неразвиените општини и на најранливите социјални групи</w:t>
      </w:r>
      <w:r w:rsidRPr="00FC4388">
        <w:rPr>
          <w:lang w:val="mk-MK"/>
        </w:rPr>
        <w:t>.</w:t>
      </w:r>
    </w:p>
    <w:p w14:paraId="0AAD3DB4" w14:textId="77777777" w:rsidR="0019024B" w:rsidRPr="004C3A81" w:rsidRDefault="0019024B" w:rsidP="004C3A81">
      <w:pPr>
        <w:rPr>
          <w:b/>
        </w:rPr>
      </w:pPr>
    </w:p>
    <w:p w14:paraId="319AD623" w14:textId="1BBD8CF4" w:rsidR="0019024B" w:rsidRPr="00FC4388" w:rsidRDefault="00FC4388" w:rsidP="00FC4388">
      <w:pPr>
        <w:rPr>
          <w:b/>
        </w:rPr>
      </w:pPr>
      <w:r w:rsidRPr="00FC4388">
        <w:rPr>
          <w:b/>
          <w:lang w:val="mk-MK"/>
        </w:rPr>
        <w:t>1.3. Целите за одржлив развој</w:t>
      </w:r>
    </w:p>
    <w:p w14:paraId="642E6E0F" w14:textId="644BC380" w:rsidR="0019024B" w:rsidRPr="004846AC" w:rsidRDefault="0019024B" w:rsidP="0019024B">
      <w:pPr>
        <w:rPr>
          <w:b/>
        </w:rPr>
      </w:pPr>
    </w:p>
    <w:p w14:paraId="644122C5" w14:textId="795A83C4" w:rsidR="0019024B" w:rsidRPr="00FC4388" w:rsidRDefault="00FC4388" w:rsidP="00FC4388">
      <w:pPr>
        <w:ind w:firstLine="708"/>
        <w:jc w:val="both"/>
      </w:pPr>
      <w:r w:rsidRPr="00FC4388">
        <w:rPr>
          <w:lang w:val="mk-MK"/>
        </w:rPr>
        <w:t xml:space="preserve">Целите за одржлив развој и соодветните индикатори служат да се определи </w:t>
      </w:r>
      <w:r w:rsidRPr="00FC4388">
        <w:rPr>
          <w:u w:val="single"/>
          <w:lang w:val="mk-MK"/>
        </w:rPr>
        <w:t>кои типови проекти и од кои области би можеле да добијат средства</w:t>
      </w:r>
      <w:r w:rsidRPr="00FC4388">
        <w:rPr>
          <w:lang w:val="mk-MK"/>
        </w:rPr>
        <w:t xml:space="preserve"> за изработка на техничка документација.</w:t>
      </w:r>
      <w:r w:rsidR="0019024B" w:rsidRPr="00FC4388">
        <w:t xml:space="preserve"> </w:t>
      </w:r>
      <w:r w:rsidRPr="00FC4388">
        <w:rPr>
          <w:lang w:val="mk-MK"/>
        </w:rPr>
        <w:t xml:space="preserve">Индикаторите се избрани на начин за да соодветствуваат на главните цели на проектот, и оние во однос на кои Република Северна Македонија постигнала незадоволителен напредок се означени со </w:t>
      </w:r>
      <w:r w:rsidRPr="00FC4388">
        <w:rPr>
          <w:b/>
          <w:lang w:val="mk-MK"/>
        </w:rPr>
        <w:t>(!)</w:t>
      </w:r>
      <w:r w:rsidRPr="00FC4388">
        <w:rPr>
          <w:lang w:val="mk-MK"/>
        </w:rPr>
        <w:t>:</w:t>
      </w:r>
    </w:p>
    <w:p w14:paraId="31DFB9EE" w14:textId="77777777" w:rsidR="0019024B" w:rsidRDefault="0019024B" w:rsidP="0019024B">
      <w:pPr>
        <w:spacing w:line="240" w:lineRule="auto"/>
      </w:pPr>
    </w:p>
    <w:p w14:paraId="6EECBB8C" w14:textId="207DDD9B" w:rsidR="0019024B" w:rsidRPr="009F6FAD" w:rsidRDefault="00FC4388" w:rsidP="00FC4388">
      <w:pPr>
        <w:spacing w:line="240" w:lineRule="auto"/>
        <w:rPr>
          <w:u w:val="single"/>
        </w:rPr>
      </w:pPr>
      <w:r w:rsidRPr="00FC4388">
        <w:rPr>
          <w:u w:val="single"/>
          <w:lang w:val="mk-MK"/>
        </w:rPr>
        <w:t>ЦОР 11: Одржливи градови и заедници</w:t>
      </w:r>
      <w:r w:rsidR="0019024B" w:rsidRPr="00FC4388">
        <w:rPr>
          <w:u w:val="single"/>
        </w:rPr>
        <w:t xml:space="preserve"> </w:t>
      </w:r>
    </w:p>
    <w:p w14:paraId="0AE3CCC5" w14:textId="17AB5043" w:rsidR="0019024B" w:rsidRPr="00FC4388" w:rsidRDefault="00FC4388" w:rsidP="00FC4388">
      <w:pPr>
        <w:spacing w:line="240" w:lineRule="auto"/>
      </w:pPr>
      <w:r w:rsidRPr="00FC4388">
        <w:rPr>
          <w:lang w:val="mk-MK"/>
        </w:rPr>
        <w:t>Индикатори:</w:t>
      </w:r>
    </w:p>
    <w:p w14:paraId="07097141" w14:textId="7641F18E" w:rsidR="00FC4388" w:rsidRDefault="0019024B" w:rsidP="00FC4388">
      <w:pPr>
        <w:pStyle w:val="ListParagraph"/>
        <w:numPr>
          <w:ilvl w:val="0"/>
          <w:numId w:val="19"/>
        </w:numPr>
        <w:spacing w:line="240" w:lineRule="auto"/>
        <w:ind w:left="426"/>
      </w:pPr>
      <w:r w:rsidRPr="00785869">
        <w:rPr>
          <w:b/>
        </w:rPr>
        <w:t>(!)</w:t>
      </w:r>
      <w:r>
        <w:rPr>
          <w:b/>
        </w:rPr>
        <w:t xml:space="preserve"> </w:t>
      </w:r>
      <w:r w:rsidR="00FC4388" w:rsidRPr="00FC4388">
        <w:rPr>
          <w:lang w:val="mk-MK"/>
        </w:rPr>
        <w:t>Просечна годишна концентрација на честички со дијаметар помал од 2</w:t>
      </w:r>
      <w:r w:rsidR="002C0CF9">
        <w:rPr>
          <w:lang w:val="mk-MK"/>
        </w:rPr>
        <w:t>,</w:t>
      </w:r>
      <w:r w:rsidR="00FC4388" w:rsidRPr="00FC4388">
        <w:rPr>
          <w:lang w:val="mk-MK"/>
        </w:rPr>
        <w:t>5 микрони (μg/m3)</w:t>
      </w:r>
      <w:r w:rsidR="00FC4388" w:rsidRPr="00FC4388">
        <w:t xml:space="preserve"> </w:t>
      </w:r>
      <w:r w:rsidR="00FC4388">
        <w:t xml:space="preserve">    </w:t>
      </w:r>
    </w:p>
    <w:p w14:paraId="3980B91A" w14:textId="003AA312" w:rsidR="00FC4388" w:rsidRDefault="00FC4388" w:rsidP="00FC4388">
      <w:pPr>
        <w:pStyle w:val="ListParagraph"/>
        <w:numPr>
          <w:ilvl w:val="0"/>
          <w:numId w:val="19"/>
        </w:numPr>
        <w:spacing w:line="240" w:lineRule="auto"/>
        <w:ind w:left="426"/>
      </w:pPr>
      <w:r w:rsidRPr="00FC4388">
        <w:rPr>
          <w:lang w:val="mk-MK"/>
        </w:rPr>
        <w:t xml:space="preserve">Пристап до извор на безбедна вода, </w:t>
      </w:r>
      <w:r w:rsidR="002C0CF9">
        <w:rPr>
          <w:lang w:val="mk-MK"/>
        </w:rPr>
        <w:t>по</w:t>
      </w:r>
      <w:r w:rsidRPr="00FC4388">
        <w:rPr>
          <w:lang w:val="mk-MK"/>
        </w:rPr>
        <w:t xml:space="preserve"> цевки (%)</w:t>
      </w:r>
      <w:r w:rsidRPr="00FC4388">
        <w:t xml:space="preserve"> </w:t>
      </w:r>
    </w:p>
    <w:p w14:paraId="7B72D2CE" w14:textId="3492317F" w:rsidR="00FC4388" w:rsidRPr="00FC4388" w:rsidRDefault="0019024B" w:rsidP="00FC4388">
      <w:pPr>
        <w:pStyle w:val="ListParagraph"/>
        <w:numPr>
          <w:ilvl w:val="0"/>
          <w:numId w:val="19"/>
        </w:numPr>
        <w:spacing w:line="240" w:lineRule="auto"/>
        <w:ind w:left="426"/>
      </w:pPr>
      <w:r w:rsidRPr="00785869">
        <w:rPr>
          <w:b/>
        </w:rPr>
        <w:t>(!)</w:t>
      </w:r>
      <w:r>
        <w:t xml:space="preserve"> </w:t>
      </w:r>
      <w:r w:rsidR="00FC4388" w:rsidRPr="00FC4388">
        <w:rPr>
          <w:lang w:val="mk-MK"/>
        </w:rPr>
        <w:t>Задоволство од јавниот превоз (%)</w:t>
      </w:r>
    </w:p>
    <w:p w14:paraId="61E9E47B" w14:textId="77777777" w:rsidR="0019024B" w:rsidRDefault="0019024B" w:rsidP="0019024B">
      <w:pPr>
        <w:spacing w:line="240" w:lineRule="auto"/>
      </w:pPr>
    </w:p>
    <w:p w14:paraId="64EF3566" w14:textId="3964F141" w:rsidR="0019024B" w:rsidRPr="009F6FAD" w:rsidRDefault="00FC4388" w:rsidP="00FC4388">
      <w:pPr>
        <w:spacing w:line="240" w:lineRule="auto"/>
        <w:rPr>
          <w:u w:val="single"/>
        </w:rPr>
      </w:pPr>
      <w:r w:rsidRPr="00FC4388">
        <w:rPr>
          <w:u w:val="single"/>
          <w:lang w:val="mk-MK"/>
        </w:rPr>
        <w:t>ЦОР 4: Квалитетно образование</w:t>
      </w:r>
      <w:r w:rsidR="0019024B" w:rsidRPr="00FC4388">
        <w:rPr>
          <w:u w:val="single"/>
        </w:rPr>
        <w:t xml:space="preserve"> </w:t>
      </w:r>
    </w:p>
    <w:p w14:paraId="47E0676A" w14:textId="70882546" w:rsidR="0019024B" w:rsidRPr="00FC4388" w:rsidRDefault="00FC4388" w:rsidP="00FC4388">
      <w:pPr>
        <w:spacing w:line="240" w:lineRule="auto"/>
      </w:pPr>
      <w:r w:rsidRPr="00FC4388">
        <w:rPr>
          <w:lang w:val="mk-MK"/>
        </w:rPr>
        <w:t>Индикатори:</w:t>
      </w:r>
    </w:p>
    <w:p w14:paraId="3DEE8742" w14:textId="320AE664" w:rsidR="00FC4388" w:rsidRPr="00FC4388" w:rsidRDefault="0019024B" w:rsidP="00FC4388">
      <w:pPr>
        <w:pStyle w:val="ListParagraph"/>
        <w:numPr>
          <w:ilvl w:val="0"/>
          <w:numId w:val="20"/>
        </w:numPr>
        <w:spacing w:line="240" w:lineRule="auto"/>
        <w:ind w:left="426"/>
      </w:pPr>
      <w:r w:rsidRPr="00785869">
        <w:rPr>
          <w:b/>
        </w:rPr>
        <w:t>(!)</w:t>
      </w:r>
      <w:r>
        <w:rPr>
          <w:b/>
        </w:rPr>
        <w:t xml:space="preserve"> </w:t>
      </w:r>
      <w:r w:rsidR="00FC4388" w:rsidRPr="00FC4388">
        <w:rPr>
          <w:lang w:val="mk-MK"/>
        </w:rPr>
        <w:t>Вкупна стапка на запишување деца во основно училиште (%)</w:t>
      </w:r>
    </w:p>
    <w:p w14:paraId="2B5CDCAB" w14:textId="4CAF0532" w:rsidR="00FC4388" w:rsidRPr="00FC4388" w:rsidRDefault="0019024B" w:rsidP="00FC4388">
      <w:pPr>
        <w:pStyle w:val="ListParagraph"/>
        <w:numPr>
          <w:ilvl w:val="0"/>
          <w:numId w:val="20"/>
        </w:numPr>
        <w:spacing w:line="240" w:lineRule="auto"/>
        <w:ind w:left="426"/>
      </w:pPr>
      <w:r w:rsidRPr="00FF6F7F">
        <w:rPr>
          <w:b/>
        </w:rPr>
        <w:t>(!)</w:t>
      </w:r>
      <w:r>
        <w:t xml:space="preserve"> </w:t>
      </w:r>
      <w:r w:rsidR="00FC4388" w:rsidRPr="00FC4388">
        <w:rPr>
          <w:lang w:val="mk-MK"/>
        </w:rPr>
        <w:t>Пониска стапка на завршено</w:t>
      </w:r>
      <w:r w:rsidR="002C0CF9">
        <w:rPr>
          <w:lang w:val="mk-MK"/>
        </w:rPr>
        <w:t xml:space="preserve"> </w:t>
      </w:r>
      <w:r w:rsidR="00FC4388" w:rsidRPr="00FC4388">
        <w:rPr>
          <w:lang w:val="mk-MK"/>
        </w:rPr>
        <w:t>средно образование (%)</w:t>
      </w:r>
    </w:p>
    <w:p w14:paraId="385BD09B" w14:textId="77777777" w:rsidR="0019024B" w:rsidRDefault="0019024B" w:rsidP="0019024B">
      <w:pPr>
        <w:spacing w:line="240" w:lineRule="auto"/>
        <w:rPr>
          <w:u w:val="single"/>
        </w:rPr>
      </w:pPr>
    </w:p>
    <w:p w14:paraId="355E8A00" w14:textId="0536E3F9" w:rsidR="0019024B" w:rsidRPr="00DF4667" w:rsidRDefault="00FC4388" w:rsidP="00FC4388">
      <w:pPr>
        <w:spacing w:line="240" w:lineRule="auto"/>
        <w:rPr>
          <w:u w:val="single"/>
        </w:rPr>
      </w:pPr>
      <w:r w:rsidRPr="00FC4388">
        <w:rPr>
          <w:u w:val="single"/>
          <w:lang w:val="mk-MK"/>
        </w:rPr>
        <w:t>ЦОР 5: Родова еднаквост</w:t>
      </w:r>
      <w:r w:rsidR="0019024B" w:rsidRPr="00FC4388">
        <w:rPr>
          <w:u w:val="single"/>
        </w:rPr>
        <w:t xml:space="preserve"> </w:t>
      </w:r>
    </w:p>
    <w:p w14:paraId="06E0E49D" w14:textId="25D4685A" w:rsidR="0019024B" w:rsidRPr="00FC4388" w:rsidRDefault="00FC4388" w:rsidP="00FC4388">
      <w:pPr>
        <w:spacing w:line="240" w:lineRule="auto"/>
      </w:pPr>
      <w:r w:rsidRPr="00FC4388">
        <w:rPr>
          <w:lang w:val="mk-MK"/>
        </w:rPr>
        <w:t>Индикатори:</w:t>
      </w:r>
    </w:p>
    <w:p w14:paraId="1DAD8F64" w14:textId="71673DD5" w:rsidR="00FC4388" w:rsidRPr="00FC4388" w:rsidRDefault="0019024B" w:rsidP="00FC4388">
      <w:pPr>
        <w:pStyle w:val="ListParagraph"/>
        <w:numPr>
          <w:ilvl w:val="0"/>
          <w:numId w:val="21"/>
        </w:numPr>
        <w:spacing w:line="240" w:lineRule="auto"/>
        <w:ind w:left="426"/>
      </w:pPr>
      <w:r w:rsidRPr="00FF6F7F">
        <w:rPr>
          <w:b/>
        </w:rPr>
        <w:t>(!)</w:t>
      </w:r>
      <w:r>
        <w:rPr>
          <w:b/>
        </w:rPr>
        <w:t xml:space="preserve"> </w:t>
      </w:r>
      <w:r w:rsidR="00FC4388" w:rsidRPr="00FC4388">
        <w:rPr>
          <w:lang w:val="mk-MK"/>
        </w:rPr>
        <w:t>Години кои жените ги минуваат во школување (како % од мажите)</w:t>
      </w:r>
    </w:p>
    <w:p w14:paraId="02FAD292" w14:textId="7785F0A3" w:rsidR="00FC4388" w:rsidRPr="00FC4388" w:rsidRDefault="0019024B" w:rsidP="00FC4388">
      <w:pPr>
        <w:pStyle w:val="ListParagraph"/>
        <w:numPr>
          <w:ilvl w:val="0"/>
          <w:numId w:val="21"/>
        </w:numPr>
        <w:spacing w:line="240" w:lineRule="auto"/>
        <w:ind w:left="426"/>
      </w:pPr>
      <w:r w:rsidRPr="00FF6F7F">
        <w:rPr>
          <w:b/>
        </w:rPr>
        <w:t>(!)</w:t>
      </w:r>
      <w:r>
        <w:rPr>
          <w:b/>
        </w:rPr>
        <w:t xml:space="preserve"> </w:t>
      </w:r>
      <w:r w:rsidR="00FC4388" w:rsidRPr="00FC4388">
        <w:rPr>
          <w:lang w:val="mk-MK"/>
        </w:rPr>
        <w:t>Учество на жените во работната сила (како % од мажите)</w:t>
      </w:r>
    </w:p>
    <w:p w14:paraId="651E0004" w14:textId="77777777" w:rsidR="0019024B" w:rsidRDefault="0019024B" w:rsidP="0019024B">
      <w:pPr>
        <w:spacing w:line="240" w:lineRule="auto"/>
      </w:pPr>
    </w:p>
    <w:p w14:paraId="4AF37DB5" w14:textId="686DA7FB" w:rsidR="0019024B" w:rsidRPr="00DF4667" w:rsidRDefault="00FC4388" w:rsidP="00FC4388">
      <w:pPr>
        <w:spacing w:line="240" w:lineRule="auto"/>
        <w:rPr>
          <w:u w:val="single"/>
        </w:rPr>
      </w:pPr>
      <w:r w:rsidRPr="00FC4388">
        <w:rPr>
          <w:u w:val="single"/>
          <w:lang w:val="mk-MK"/>
        </w:rPr>
        <w:t>ЦОР 8: Пристојна работа и економски развој</w:t>
      </w:r>
      <w:r w:rsidR="0019024B" w:rsidRPr="00FC4388">
        <w:rPr>
          <w:u w:val="single"/>
        </w:rPr>
        <w:t xml:space="preserve"> </w:t>
      </w:r>
    </w:p>
    <w:p w14:paraId="7A2A63F0" w14:textId="51D2314F" w:rsidR="0019024B" w:rsidRPr="00FC4388" w:rsidRDefault="00FC4388" w:rsidP="00FC4388">
      <w:pPr>
        <w:spacing w:line="240" w:lineRule="auto"/>
      </w:pPr>
      <w:r w:rsidRPr="00FC4388">
        <w:rPr>
          <w:lang w:val="mk-MK"/>
        </w:rPr>
        <w:t>Индикатори:</w:t>
      </w:r>
    </w:p>
    <w:p w14:paraId="5D584F7A" w14:textId="07BA7779" w:rsidR="00FC4388" w:rsidRPr="00FC4388" w:rsidRDefault="0019024B" w:rsidP="00FC4388">
      <w:pPr>
        <w:pStyle w:val="ListParagraph"/>
        <w:numPr>
          <w:ilvl w:val="0"/>
          <w:numId w:val="22"/>
        </w:numPr>
        <w:spacing w:line="240" w:lineRule="auto"/>
        <w:ind w:left="426"/>
      </w:pPr>
      <w:r w:rsidRPr="00FF6F7F">
        <w:rPr>
          <w:b/>
        </w:rPr>
        <w:t>(!)</w:t>
      </w:r>
      <w:r>
        <w:rPr>
          <w:b/>
        </w:rPr>
        <w:t xml:space="preserve"> </w:t>
      </w:r>
      <w:r w:rsidR="00FC4388" w:rsidRPr="00FC4388">
        <w:rPr>
          <w:lang w:val="mk-MK"/>
        </w:rPr>
        <w:t>Стапка на невработеност (%)</w:t>
      </w:r>
    </w:p>
    <w:p w14:paraId="5441A040" w14:textId="77777777" w:rsidR="0019024B" w:rsidRDefault="0019024B" w:rsidP="0019024B"/>
    <w:p w14:paraId="4981901D" w14:textId="17861348" w:rsidR="0019024B" w:rsidRPr="00FC4388" w:rsidRDefault="00FC4388" w:rsidP="00FC4388">
      <w:pPr>
        <w:spacing w:line="240" w:lineRule="auto"/>
        <w:rPr>
          <w:u w:val="single"/>
        </w:rPr>
      </w:pPr>
      <w:r w:rsidRPr="00FC4388">
        <w:rPr>
          <w:u w:val="single"/>
          <w:lang w:val="mk-MK"/>
        </w:rPr>
        <w:t>ЦОР 6: Чиста вода и санитарни услови</w:t>
      </w:r>
    </w:p>
    <w:p w14:paraId="0A828BBE" w14:textId="0D9E7F16" w:rsidR="0019024B" w:rsidRPr="00FC4388" w:rsidRDefault="00FC4388" w:rsidP="00FC4388">
      <w:pPr>
        <w:spacing w:line="240" w:lineRule="auto"/>
      </w:pPr>
      <w:r w:rsidRPr="00FC4388">
        <w:rPr>
          <w:lang w:val="mk-MK"/>
        </w:rPr>
        <w:t>Индикатори:</w:t>
      </w:r>
    </w:p>
    <w:p w14:paraId="4B86D27F" w14:textId="147E1EE0" w:rsidR="00FC4388" w:rsidRPr="00FC4388" w:rsidRDefault="0019024B" w:rsidP="00FC4388">
      <w:pPr>
        <w:pStyle w:val="ListParagraph"/>
        <w:numPr>
          <w:ilvl w:val="0"/>
          <w:numId w:val="23"/>
        </w:numPr>
        <w:spacing w:line="240" w:lineRule="auto"/>
        <w:ind w:left="426"/>
      </w:pPr>
      <w:r w:rsidRPr="00FF6F7F">
        <w:rPr>
          <w:b/>
        </w:rPr>
        <w:t>(!)</w:t>
      </w:r>
      <w:r>
        <w:rPr>
          <w:b/>
        </w:rPr>
        <w:t xml:space="preserve"> </w:t>
      </w:r>
      <w:r w:rsidR="00FC4388" w:rsidRPr="00FC4388">
        <w:rPr>
          <w:lang w:val="mk-MK"/>
        </w:rPr>
        <w:t>Жители кои имаат пристап барем до вода за пиење (%)</w:t>
      </w:r>
    </w:p>
    <w:p w14:paraId="3718431C" w14:textId="45732D79" w:rsidR="00FC4388" w:rsidRPr="00FC4388" w:rsidRDefault="0019024B" w:rsidP="00FC4388">
      <w:pPr>
        <w:pStyle w:val="ListParagraph"/>
        <w:numPr>
          <w:ilvl w:val="0"/>
          <w:numId w:val="23"/>
        </w:numPr>
        <w:spacing w:line="240" w:lineRule="auto"/>
        <w:ind w:left="426"/>
      </w:pPr>
      <w:r w:rsidRPr="00FF6F7F">
        <w:rPr>
          <w:b/>
        </w:rPr>
        <w:t>(!)</w:t>
      </w:r>
      <w:r>
        <w:rPr>
          <w:b/>
        </w:rPr>
        <w:t xml:space="preserve"> </w:t>
      </w:r>
      <w:r w:rsidR="00FC4388" w:rsidRPr="00FC4388">
        <w:rPr>
          <w:lang w:val="mk-MK"/>
        </w:rPr>
        <w:t>Жители кои имаат пристап барем до основни санитарни услуги (%)</w:t>
      </w:r>
    </w:p>
    <w:p w14:paraId="7E55D918" w14:textId="6EA45A57" w:rsidR="00FC4388" w:rsidRPr="00FC4388" w:rsidRDefault="00FC4388" w:rsidP="00FC4388">
      <w:pPr>
        <w:pStyle w:val="ListParagraph"/>
        <w:numPr>
          <w:ilvl w:val="0"/>
          <w:numId w:val="23"/>
        </w:numPr>
        <w:spacing w:line="240" w:lineRule="auto"/>
        <w:ind w:left="426"/>
      </w:pPr>
      <w:r w:rsidRPr="00FC4388">
        <w:rPr>
          <w:lang w:val="mk-MK"/>
        </w:rPr>
        <w:t>Стапка на повлекување на свежа вода (%)</w:t>
      </w:r>
    </w:p>
    <w:p w14:paraId="7EDC90D7" w14:textId="75DFC72E" w:rsidR="00FC4388" w:rsidRPr="00704821" w:rsidRDefault="00B03670" w:rsidP="00704821">
      <w:pPr>
        <w:pStyle w:val="ListParagraph"/>
        <w:numPr>
          <w:ilvl w:val="0"/>
          <w:numId w:val="23"/>
        </w:numPr>
        <w:spacing w:line="240" w:lineRule="auto"/>
        <w:ind w:left="426"/>
      </w:pPr>
      <w:r>
        <w:rPr>
          <w:lang w:val="mk-MK"/>
        </w:rPr>
        <w:t xml:space="preserve">Осиромашување на површински води од увоз на </w:t>
      </w:r>
      <w:r w:rsidRPr="00B03670">
        <w:rPr>
          <w:lang w:val="mk-MK"/>
        </w:rPr>
        <w:t xml:space="preserve">стоки </w:t>
      </w:r>
      <w:r w:rsidR="00704821" w:rsidRPr="00704821">
        <w:rPr>
          <w:lang w:val="mk-MK"/>
        </w:rPr>
        <w:t>(m</w:t>
      </w:r>
      <w:r w:rsidR="00704821" w:rsidRPr="00704821">
        <w:rPr>
          <w:vertAlign w:val="superscript"/>
          <w:lang w:val="mk-MK"/>
        </w:rPr>
        <w:t>3</w:t>
      </w:r>
      <w:r w:rsidR="00704821" w:rsidRPr="00704821">
        <w:rPr>
          <w:lang w:val="mk-MK"/>
        </w:rPr>
        <w:t>/годишно/по глава на жител)</w:t>
      </w:r>
    </w:p>
    <w:p w14:paraId="592535F6" w14:textId="280458F5" w:rsidR="00704821" w:rsidRPr="00704821" w:rsidRDefault="0019024B" w:rsidP="00704821">
      <w:pPr>
        <w:pStyle w:val="ListParagraph"/>
        <w:numPr>
          <w:ilvl w:val="0"/>
          <w:numId w:val="23"/>
        </w:numPr>
        <w:spacing w:line="240" w:lineRule="auto"/>
        <w:ind w:left="426"/>
      </w:pPr>
      <w:r w:rsidRPr="00FF6F7F">
        <w:rPr>
          <w:b/>
        </w:rPr>
        <w:t>(!)</w:t>
      </w:r>
      <w:r>
        <w:rPr>
          <w:b/>
        </w:rPr>
        <w:t xml:space="preserve"> </w:t>
      </w:r>
      <w:r w:rsidR="00704821" w:rsidRPr="00704821">
        <w:rPr>
          <w:lang w:val="mk-MK"/>
        </w:rPr>
        <w:t>Пречистени отпадни води (%)</w:t>
      </w:r>
    </w:p>
    <w:p w14:paraId="7FC800D1" w14:textId="77777777" w:rsidR="0019024B" w:rsidRDefault="0019024B" w:rsidP="0019024B">
      <w:pPr>
        <w:spacing w:line="240" w:lineRule="auto"/>
      </w:pPr>
    </w:p>
    <w:p w14:paraId="36D43EDF" w14:textId="49D57297" w:rsidR="0019024B" w:rsidRPr="00FF6F7F" w:rsidRDefault="00704821" w:rsidP="00704821">
      <w:pPr>
        <w:spacing w:line="240" w:lineRule="auto"/>
        <w:rPr>
          <w:u w:val="single"/>
        </w:rPr>
      </w:pPr>
      <w:r w:rsidRPr="00704821">
        <w:rPr>
          <w:u w:val="single"/>
          <w:lang w:val="mk-MK"/>
        </w:rPr>
        <w:t>ЦОР 7: Ценовно прифатлива и чиста енергија</w:t>
      </w:r>
      <w:r w:rsidR="0019024B" w:rsidRPr="00704821">
        <w:rPr>
          <w:u w:val="single"/>
        </w:rPr>
        <w:t xml:space="preserve"> </w:t>
      </w:r>
    </w:p>
    <w:p w14:paraId="077CCF0D" w14:textId="1C99DE8E" w:rsidR="0019024B" w:rsidRPr="00704821" w:rsidRDefault="00704821" w:rsidP="00704821">
      <w:pPr>
        <w:spacing w:line="240" w:lineRule="auto"/>
      </w:pPr>
      <w:r w:rsidRPr="00704821">
        <w:rPr>
          <w:lang w:val="mk-MK"/>
        </w:rPr>
        <w:t>Индикатори:</w:t>
      </w:r>
    </w:p>
    <w:p w14:paraId="5158C075" w14:textId="52448448" w:rsidR="00704821" w:rsidRPr="00704821" w:rsidRDefault="00704821" w:rsidP="00704821">
      <w:pPr>
        <w:pStyle w:val="ListParagraph"/>
        <w:numPr>
          <w:ilvl w:val="0"/>
          <w:numId w:val="24"/>
        </w:numPr>
        <w:spacing w:line="240" w:lineRule="auto"/>
        <w:ind w:left="426"/>
      </w:pPr>
      <w:r w:rsidRPr="00704821">
        <w:rPr>
          <w:lang w:val="mk-MK"/>
        </w:rPr>
        <w:t xml:space="preserve">Пристап </w:t>
      </w:r>
      <w:r w:rsidR="002C0CF9">
        <w:rPr>
          <w:lang w:val="mk-MK"/>
        </w:rPr>
        <w:t>до</w:t>
      </w:r>
      <w:r w:rsidRPr="00704821">
        <w:rPr>
          <w:lang w:val="mk-MK"/>
        </w:rPr>
        <w:t xml:space="preserve"> електрична енергија (%)</w:t>
      </w:r>
    </w:p>
    <w:p w14:paraId="49A97D2E" w14:textId="30C09B99" w:rsidR="00704821" w:rsidRPr="00704821" w:rsidRDefault="0019024B" w:rsidP="00704821">
      <w:pPr>
        <w:pStyle w:val="ListParagraph"/>
        <w:numPr>
          <w:ilvl w:val="0"/>
          <w:numId w:val="24"/>
        </w:numPr>
        <w:spacing w:line="240" w:lineRule="auto"/>
        <w:ind w:left="426"/>
      </w:pPr>
      <w:r w:rsidRPr="00FF6F7F">
        <w:rPr>
          <w:b/>
        </w:rPr>
        <w:t>(!)</w:t>
      </w:r>
      <w:r>
        <w:rPr>
          <w:b/>
        </w:rPr>
        <w:t xml:space="preserve"> </w:t>
      </w:r>
      <w:r w:rsidR="00704821" w:rsidRPr="00704821">
        <w:rPr>
          <w:lang w:val="mk-MK"/>
        </w:rPr>
        <w:t>Пристап до чисти горива (%)</w:t>
      </w:r>
    </w:p>
    <w:p w14:paraId="3DF4B98D" w14:textId="681E1273" w:rsidR="00704821" w:rsidRPr="00704821" w:rsidRDefault="0019024B" w:rsidP="00704821">
      <w:pPr>
        <w:pStyle w:val="ListParagraph"/>
        <w:numPr>
          <w:ilvl w:val="0"/>
          <w:numId w:val="24"/>
        </w:numPr>
        <w:spacing w:line="240" w:lineRule="auto"/>
        <w:ind w:left="426"/>
      </w:pPr>
      <w:r w:rsidRPr="00FF6F7F">
        <w:rPr>
          <w:b/>
        </w:rPr>
        <w:lastRenderedPageBreak/>
        <w:t>(!)</w:t>
      </w:r>
      <w:r>
        <w:rPr>
          <w:b/>
        </w:rPr>
        <w:t xml:space="preserve"> </w:t>
      </w:r>
      <w:r w:rsidR="00704821" w:rsidRPr="00704821">
        <w:rPr>
          <w:lang w:val="mk-MK"/>
        </w:rPr>
        <w:t>CO</w:t>
      </w:r>
      <w:r w:rsidR="00704821" w:rsidRPr="00704821">
        <w:rPr>
          <w:vertAlign w:val="subscript"/>
          <w:lang w:val="mk-MK"/>
        </w:rPr>
        <w:t>2</w:t>
      </w:r>
      <w:r w:rsidR="00704821" w:rsidRPr="00704821">
        <w:rPr>
          <w:lang w:val="mk-MK"/>
        </w:rPr>
        <w:t xml:space="preserve"> од горива и електрична енергија (MtCO2/TWh)</w:t>
      </w:r>
    </w:p>
    <w:p w14:paraId="1E42BD57" w14:textId="77777777" w:rsidR="0019024B" w:rsidRDefault="0019024B" w:rsidP="0019024B">
      <w:pPr>
        <w:spacing w:line="240" w:lineRule="auto"/>
      </w:pPr>
    </w:p>
    <w:p w14:paraId="01667B97" w14:textId="64B6A5C2" w:rsidR="0019024B" w:rsidRPr="00FF6F7F" w:rsidRDefault="00704821" w:rsidP="00704821">
      <w:pPr>
        <w:spacing w:line="240" w:lineRule="auto"/>
        <w:rPr>
          <w:u w:val="single"/>
        </w:rPr>
      </w:pPr>
      <w:r w:rsidRPr="00704821">
        <w:rPr>
          <w:u w:val="single"/>
          <w:lang w:val="mk-MK"/>
        </w:rPr>
        <w:t>ЦОР 12: Одговорна потрошувачка и производство</w:t>
      </w:r>
      <w:r w:rsidR="0019024B" w:rsidRPr="00704821">
        <w:rPr>
          <w:u w:val="single"/>
        </w:rPr>
        <w:t xml:space="preserve"> </w:t>
      </w:r>
    </w:p>
    <w:p w14:paraId="71609152" w14:textId="4E01F777" w:rsidR="00704821" w:rsidRPr="00704821" w:rsidRDefault="0019024B" w:rsidP="00704821">
      <w:pPr>
        <w:pStyle w:val="ListParagraph"/>
        <w:numPr>
          <w:ilvl w:val="0"/>
          <w:numId w:val="25"/>
        </w:numPr>
        <w:spacing w:line="240" w:lineRule="auto"/>
        <w:ind w:left="426"/>
      </w:pPr>
      <w:r w:rsidRPr="00FF6F7F">
        <w:rPr>
          <w:b/>
        </w:rPr>
        <w:t>(!)</w:t>
      </w:r>
      <w:r>
        <w:rPr>
          <w:b/>
        </w:rPr>
        <w:t xml:space="preserve"> </w:t>
      </w:r>
      <w:r w:rsidR="00704821" w:rsidRPr="00704821">
        <w:rPr>
          <w:lang w:val="mk-MK"/>
        </w:rPr>
        <w:t>Општински цврст отпад (кг/жител/дневно)</w:t>
      </w:r>
    </w:p>
    <w:p w14:paraId="2A45B2DB" w14:textId="3C7F70F7" w:rsidR="00704821" w:rsidRPr="00704821" w:rsidRDefault="0019024B" w:rsidP="00704821">
      <w:pPr>
        <w:pStyle w:val="ListParagraph"/>
        <w:numPr>
          <w:ilvl w:val="0"/>
          <w:numId w:val="25"/>
        </w:numPr>
        <w:spacing w:line="240" w:lineRule="auto"/>
        <w:ind w:left="426"/>
      </w:pPr>
      <w:r w:rsidRPr="00FF6F7F">
        <w:rPr>
          <w:b/>
        </w:rPr>
        <w:t>(!)</w:t>
      </w:r>
      <w:r>
        <w:rPr>
          <w:b/>
        </w:rPr>
        <w:t xml:space="preserve"> </w:t>
      </w:r>
      <w:r w:rsidR="00704821" w:rsidRPr="00704821">
        <w:rPr>
          <w:lang w:val="mk-MK"/>
        </w:rPr>
        <w:t>E-отпад (кг/глава на жител)</w:t>
      </w:r>
    </w:p>
    <w:p w14:paraId="6B557256" w14:textId="001D7A51" w:rsidR="00704821" w:rsidRPr="00704821" w:rsidRDefault="0019024B" w:rsidP="00704821">
      <w:pPr>
        <w:pStyle w:val="ListParagraph"/>
        <w:numPr>
          <w:ilvl w:val="0"/>
          <w:numId w:val="25"/>
        </w:numPr>
        <w:spacing w:line="240" w:lineRule="auto"/>
        <w:ind w:left="426"/>
      </w:pPr>
      <w:r w:rsidRPr="00FF6F7F">
        <w:rPr>
          <w:b/>
        </w:rPr>
        <w:t>(!)</w:t>
      </w:r>
      <w:r>
        <w:rPr>
          <w:b/>
        </w:rPr>
        <w:t xml:space="preserve"> </w:t>
      </w:r>
      <w:r w:rsidR="00704821" w:rsidRPr="00704821">
        <w:rPr>
          <w:lang w:val="mk-MK"/>
        </w:rPr>
        <w:t>Емисии на реактивен азот (кг/глава на жител)</w:t>
      </w:r>
    </w:p>
    <w:p w14:paraId="2D2957F5" w14:textId="77777777" w:rsidR="0019024B" w:rsidRDefault="0019024B" w:rsidP="0019024B">
      <w:pPr>
        <w:spacing w:line="240" w:lineRule="auto"/>
      </w:pPr>
    </w:p>
    <w:p w14:paraId="26202DDE" w14:textId="05EA2CF4" w:rsidR="0019024B" w:rsidRPr="00785869" w:rsidRDefault="00704821" w:rsidP="00704821">
      <w:pPr>
        <w:spacing w:line="240" w:lineRule="auto"/>
        <w:rPr>
          <w:u w:val="single"/>
        </w:rPr>
      </w:pPr>
      <w:r w:rsidRPr="00704821">
        <w:rPr>
          <w:u w:val="single"/>
          <w:lang w:val="mk-MK"/>
        </w:rPr>
        <w:t>ЦОР 13: Мерки против климатските промени</w:t>
      </w:r>
      <w:r w:rsidR="0019024B" w:rsidRPr="00704821">
        <w:rPr>
          <w:u w:val="single"/>
        </w:rPr>
        <w:t xml:space="preserve"> </w:t>
      </w:r>
    </w:p>
    <w:p w14:paraId="461E7600" w14:textId="03CB309D" w:rsidR="00704821" w:rsidRPr="00704821" w:rsidRDefault="0019024B" w:rsidP="00704821">
      <w:pPr>
        <w:pStyle w:val="ListParagraph"/>
        <w:numPr>
          <w:ilvl w:val="0"/>
          <w:numId w:val="26"/>
        </w:numPr>
        <w:spacing w:line="240" w:lineRule="auto"/>
        <w:ind w:left="426"/>
      </w:pPr>
      <w:r w:rsidRPr="00FF6F7F">
        <w:rPr>
          <w:b/>
        </w:rPr>
        <w:t>(!)</w:t>
      </w:r>
      <w:r>
        <w:rPr>
          <w:b/>
        </w:rPr>
        <w:t xml:space="preserve"> </w:t>
      </w:r>
      <w:r w:rsidR="00704821" w:rsidRPr="00704821">
        <w:rPr>
          <w:lang w:val="mk-MK"/>
        </w:rPr>
        <w:t>Емисии на</w:t>
      </w:r>
      <w:r w:rsidR="00704821" w:rsidRPr="00704821">
        <w:rPr>
          <w:b/>
          <w:lang w:val="mk-MK"/>
        </w:rPr>
        <w:t xml:space="preserve"> </w:t>
      </w:r>
      <w:r w:rsidR="00704821" w:rsidRPr="00704821">
        <w:rPr>
          <w:lang w:val="mk-MK"/>
        </w:rPr>
        <w:t>CO</w:t>
      </w:r>
      <w:r w:rsidR="00704821" w:rsidRPr="00704821">
        <w:rPr>
          <w:vertAlign w:val="subscript"/>
          <w:lang w:val="mk-MK"/>
        </w:rPr>
        <w:t>2</w:t>
      </w:r>
      <w:r w:rsidR="00704821" w:rsidRPr="00704821">
        <w:rPr>
          <w:lang w:val="mk-MK"/>
        </w:rPr>
        <w:t xml:space="preserve"> поврзани со енергија (тони CO</w:t>
      </w:r>
      <w:r w:rsidR="00704821" w:rsidRPr="00704821">
        <w:rPr>
          <w:vertAlign w:val="subscript"/>
          <w:lang w:val="mk-MK"/>
        </w:rPr>
        <w:t>2</w:t>
      </w:r>
      <w:r w:rsidR="00704821" w:rsidRPr="00704821">
        <w:rPr>
          <w:lang w:val="mk-MK"/>
        </w:rPr>
        <w:t xml:space="preserve"> по глава на жител)</w:t>
      </w:r>
    </w:p>
    <w:p w14:paraId="3AEDF5A3" w14:textId="251499B7" w:rsidR="00704821" w:rsidRPr="00704821" w:rsidRDefault="0019024B" w:rsidP="00704821">
      <w:pPr>
        <w:pStyle w:val="ListParagraph"/>
        <w:numPr>
          <w:ilvl w:val="0"/>
          <w:numId w:val="26"/>
        </w:numPr>
        <w:spacing w:line="240" w:lineRule="auto"/>
        <w:ind w:left="426"/>
      </w:pPr>
      <w:r w:rsidRPr="00FF6F7F">
        <w:rPr>
          <w:b/>
        </w:rPr>
        <w:t>(!)</w:t>
      </w:r>
      <w:r w:rsidR="00BE7189">
        <w:t xml:space="preserve"> </w:t>
      </w:r>
      <w:r w:rsidR="00704821" w:rsidRPr="00704821">
        <w:rPr>
          <w:lang w:val="mk-MK"/>
        </w:rPr>
        <w:t>Емисии на</w:t>
      </w:r>
      <w:r w:rsidR="00704821" w:rsidRPr="00704821">
        <w:rPr>
          <w:b/>
          <w:lang w:val="mk-MK"/>
        </w:rPr>
        <w:t xml:space="preserve"> </w:t>
      </w:r>
      <w:r w:rsidR="00704821" w:rsidRPr="00704821">
        <w:rPr>
          <w:lang w:val="mk-MK"/>
        </w:rPr>
        <w:t>CO</w:t>
      </w:r>
      <w:r w:rsidR="00704821" w:rsidRPr="00704821">
        <w:rPr>
          <w:vertAlign w:val="subscript"/>
          <w:lang w:val="mk-MK"/>
        </w:rPr>
        <w:t>2</w:t>
      </w:r>
      <w:r w:rsidR="00704821" w:rsidRPr="00704821">
        <w:rPr>
          <w:lang w:val="mk-MK"/>
        </w:rPr>
        <w:t xml:space="preserve"> поврзани со увоз на стоки (тони CO</w:t>
      </w:r>
      <w:r w:rsidR="00704821" w:rsidRPr="00704821">
        <w:rPr>
          <w:vertAlign w:val="subscript"/>
          <w:lang w:val="mk-MK"/>
        </w:rPr>
        <w:t>2</w:t>
      </w:r>
      <w:r w:rsidR="00704821" w:rsidRPr="00704821">
        <w:rPr>
          <w:lang w:val="mk-MK"/>
        </w:rPr>
        <w:t xml:space="preserve"> по глава на жител)</w:t>
      </w:r>
    </w:p>
    <w:p w14:paraId="00112F51" w14:textId="2259C842" w:rsidR="00704821" w:rsidRPr="00704821" w:rsidRDefault="0019024B" w:rsidP="00704821">
      <w:pPr>
        <w:pStyle w:val="ListParagraph"/>
        <w:numPr>
          <w:ilvl w:val="0"/>
          <w:numId w:val="26"/>
        </w:numPr>
        <w:spacing w:line="240" w:lineRule="auto"/>
        <w:ind w:left="426"/>
      </w:pPr>
      <w:r w:rsidRPr="00FF6F7F">
        <w:rPr>
          <w:b/>
        </w:rPr>
        <w:t>(!)</w:t>
      </w:r>
      <w:r>
        <w:rPr>
          <w:b/>
        </w:rPr>
        <w:t xml:space="preserve"> </w:t>
      </w:r>
      <w:r w:rsidR="00704821" w:rsidRPr="00704821">
        <w:rPr>
          <w:lang w:val="mk-MK"/>
        </w:rPr>
        <w:t>Жители погодени од климатски катастрофи (на 100.000 жители)</w:t>
      </w:r>
    </w:p>
    <w:p w14:paraId="0BE42403" w14:textId="69644961" w:rsidR="00704821" w:rsidRPr="00704821" w:rsidRDefault="00704821" w:rsidP="00704821">
      <w:pPr>
        <w:pStyle w:val="ListParagraph"/>
        <w:numPr>
          <w:ilvl w:val="0"/>
          <w:numId w:val="26"/>
        </w:numPr>
        <w:spacing w:line="240" w:lineRule="auto"/>
        <w:ind w:left="426"/>
      </w:pPr>
      <w:r w:rsidRPr="00704821">
        <w:rPr>
          <w:lang w:val="mk-MK"/>
        </w:rPr>
        <w:t>Емисии на</w:t>
      </w:r>
      <w:r w:rsidRPr="00704821">
        <w:rPr>
          <w:b/>
          <w:lang w:val="mk-MK"/>
        </w:rPr>
        <w:t xml:space="preserve"> </w:t>
      </w:r>
      <w:r w:rsidRPr="00704821">
        <w:rPr>
          <w:lang w:val="mk-MK"/>
        </w:rPr>
        <w:t>CO</w:t>
      </w:r>
      <w:r w:rsidRPr="00704821">
        <w:rPr>
          <w:vertAlign w:val="subscript"/>
          <w:lang w:val="mk-MK"/>
        </w:rPr>
        <w:t>2</w:t>
      </w:r>
      <w:r w:rsidRPr="00704821">
        <w:rPr>
          <w:lang w:val="mk-MK"/>
        </w:rPr>
        <w:t xml:space="preserve"> поврзани со извоз на фосилни горива (кг/глава на жител)</w:t>
      </w:r>
    </w:p>
    <w:p w14:paraId="559A248D" w14:textId="77777777" w:rsidR="00917A25" w:rsidRPr="00EE14DB" w:rsidRDefault="00917A25"/>
    <w:p w14:paraId="1579162F" w14:textId="09E8BA57" w:rsidR="009F63F6" w:rsidRPr="00704821" w:rsidRDefault="00704821" w:rsidP="00704821">
      <w:pPr>
        <w:rPr>
          <w:b/>
        </w:rPr>
      </w:pPr>
      <w:bookmarkStart w:id="2" w:name="_Hlk20908699"/>
      <w:r w:rsidRPr="00704821">
        <w:rPr>
          <w:b/>
          <w:lang w:val="mk-MK"/>
        </w:rPr>
        <w:t xml:space="preserve">1.4. Достапни финансиски </w:t>
      </w:r>
      <w:r w:rsidR="00C50996">
        <w:rPr>
          <w:b/>
          <w:lang w:val="mk-MK"/>
        </w:rPr>
        <w:t>средства</w:t>
      </w:r>
      <w:r w:rsidRPr="00704821">
        <w:rPr>
          <w:b/>
          <w:lang w:val="mk-MK"/>
        </w:rPr>
        <w:t xml:space="preserve"> и финансиски обврски за </w:t>
      </w:r>
      <w:r w:rsidR="00C50996">
        <w:rPr>
          <w:b/>
          <w:lang w:val="mk-MK"/>
        </w:rPr>
        <w:t>барателите</w:t>
      </w:r>
    </w:p>
    <w:bookmarkEnd w:id="2"/>
    <w:p w14:paraId="6154BE32" w14:textId="77777777" w:rsidR="009F63F6" w:rsidRPr="00EE14DB" w:rsidRDefault="009F63F6"/>
    <w:p w14:paraId="0B117C0E" w14:textId="0239929A" w:rsidR="00192772" w:rsidRPr="00704821" w:rsidRDefault="00704821" w:rsidP="00704821">
      <w:pPr>
        <w:jc w:val="both"/>
      </w:pPr>
      <w:r w:rsidRPr="00704821">
        <w:rPr>
          <w:lang w:val="mk-MK"/>
        </w:rPr>
        <w:t xml:space="preserve">Вкупната достапна сума </w:t>
      </w:r>
      <w:r w:rsidR="009C572D">
        <w:rPr>
          <w:lang w:val="mk-MK"/>
        </w:rPr>
        <w:t xml:space="preserve">на Фондот за техничка документација </w:t>
      </w:r>
      <w:r w:rsidRPr="00704821">
        <w:rPr>
          <w:lang w:val="mk-MK"/>
        </w:rPr>
        <w:t>изнесува 1</w:t>
      </w:r>
      <w:r w:rsidR="009C572D">
        <w:rPr>
          <w:lang w:val="mk-MK"/>
        </w:rPr>
        <w:t xml:space="preserve"> милион </w:t>
      </w:r>
      <w:r w:rsidR="004B0709" w:rsidRPr="00704821">
        <w:rPr>
          <w:lang w:val="mk-MK"/>
        </w:rPr>
        <w:t>американски долари</w:t>
      </w:r>
      <w:r w:rsidRPr="00704821">
        <w:rPr>
          <w:lang w:val="mk-MK"/>
        </w:rPr>
        <w:t>.</w:t>
      </w:r>
    </w:p>
    <w:p w14:paraId="38D0CA2D" w14:textId="77777777" w:rsidR="00192772" w:rsidRPr="00EE14DB" w:rsidRDefault="00192772" w:rsidP="00093A3C">
      <w:pPr>
        <w:jc w:val="both"/>
      </w:pPr>
    </w:p>
    <w:p w14:paraId="3CE8F6D1" w14:textId="217DB411" w:rsidR="00192772" w:rsidRPr="00704821" w:rsidRDefault="00704821" w:rsidP="00704821">
      <w:pPr>
        <w:jc w:val="both"/>
      </w:pPr>
      <w:r w:rsidRPr="00704821">
        <w:rPr>
          <w:lang w:val="mk-MK"/>
        </w:rPr>
        <w:t xml:space="preserve">Минималните и максималните износи за кои може да поднесе </w:t>
      </w:r>
      <w:r w:rsidR="002C0CF9">
        <w:rPr>
          <w:lang w:val="mk-MK"/>
        </w:rPr>
        <w:t>пријава</w:t>
      </w:r>
      <w:r w:rsidRPr="00704821">
        <w:rPr>
          <w:lang w:val="mk-MK"/>
        </w:rPr>
        <w:t xml:space="preserve"> еден барател (општина</w:t>
      </w:r>
      <w:r w:rsidR="009C572D">
        <w:rPr>
          <w:lang w:val="mk-MK"/>
        </w:rPr>
        <w:t xml:space="preserve"> или регионален центар</w:t>
      </w:r>
      <w:r w:rsidRPr="00704821">
        <w:rPr>
          <w:lang w:val="mk-MK"/>
        </w:rPr>
        <w:t>) се утврдени на следното ниво:</w:t>
      </w:r>
    </w:p>
    <w:p w14:paraId="1BD46BC3" w14:textId="59A4AB52" w:rsidR="00704821" w:rsidRDefault="00704821" w:rsidP="00704821">
      <w:pPr>
        <w:numPr>
          <w:ilvl w:val="0"/>
          <w:numId w:val="2"/>
        </w:numPr>
        <w:jc w:val="both"/>
      </w:pPr>
      <w:r w:rsidRPr="00704821">
        <w:rPr>
          <w:lang w:val="mk-MK"/>
        </w:rPr>
        <w:t>минималниот износ е 10.000,00 американски долари</w:t>
      </w:r>
      <w:r w:rsidR="00F946C0">
        <w:rPr>
          <w:lang w:val="mk-MK"/>
        </w:rPr>
        <w:t xml:space="preserve"> за општините и 2</w:t>
      </w:r>
      <w:r w:rsidR="00F946C0" w:rsidRPr="00704821">
        <w:rPr>
          <w:lang w:val="mk-MK"/>
        </w:rPr>
        <w:t>0.000,00 американски долари</w:t>
      </w:r>
      <w:r w:rsidR="00F946C0">
        <w:rPr>
          <w:lang w:val="mk-MK"/>
        </w:rPr>
        <w:t xml:space="preserve"> за регионалните центри,</w:t>
      </w:r>
      <w:r w:rsidRPr="00704821">
        <w:t xml:space="preserve"> </w:t>
      </w:r>
    </w:p>
    <w:p w14:paraId="3C092F05" w14:textId="025FA29E" w:rsidR="00704821" w:rsidRPr="00704821" w:rsidRDefault="00704821" w:rsidP="00704821">
      <w:pPr>
        <w:numPr>
          <w:ilvl w:val="0"/>
          <w:numId w:val="2"/>
        </w:numPr>
        <w:jc w:val="both"/>
      </w:pPr>
      <w:r w:rsidRPr="00704821">
        <w:rPr>
          <w:lang w:val="mk-MK"/>
        </w:rPr>
        <w:t>максималниот износ е 30.000,00 американски долари</w:t>
      </w:r>
      <w:r w:rsidR="00F946C0" w:rsidRPr="00F946C0">
        <w:rPr>
          <w:lang w:val="mk-MK"/>
        </w:rPr>
        <w:t xml:space="preserve"> </w:t>
      </w:r>
      <w:r w:rsidR="00F946C0">
        <w:rPr>
          <w:lang w:val="mk-MK"/>
        </w:rPr>
        <w:t>за општините и 6</w:t>
      </w:r>
      <w:r w:rsidR="00F946C0" w:rsidRPr="00704821">
        <w:rPr>
          <w:lang w:val="mk-MK"/>
        </w:rPr>
        <w:t>0.000,00 американски долари</w:t>
      </w:r>
      <w:r w:rsidR="00F946C0">
        <w:rPr>
          <w:lang w:val="mk-MK"/>
        </w:rPr>
        <w:t xml:space="preserve"> за регионалните центри</w:t>
      </w:r>
    </w:p>
    <w:p w14:paraId="6B558569" w14:textId="77777777" w:rsidR="00192772" w:rsidRPr="00EE14DB" w:rsidRDefault="00192772" w:rsidP="00093A3C">
      <w:pPr>
        <w:jc w:val="both"/>
      </w:pPr>
    </w:p>
    <w:p w14:paraId="4AEC0448" w14:textId="72F0F0C0" w:rsidR="00192772" w:rsidRPr="00704821" w:rsidRDefault="00704821" w:rsidP="00704821">
      <w:pPr>
        <w:jc w:val="both"/>
      </w:pPr>
      <w:r w:rsidRPr="00704821">
        <w:rPr>
          <w:lang w:val="mk-MK"/>
        </w:rPr>
        <w:t xml:space="preserve">Во случаи кога </w:t>
      </w:r>
      <w:r w:rsidR="002C0CF9">
        <w:rPr>
          <w:lang w:val="mk-MK"/>
        </w:rPr>
        <w:t>пријавата</w:t>
      </w:r>
      <w:r w:rsidRPr="00704821">
        <w:rPr>
          <w:lang w:val="mk-MK"/>
        </w:rPr>
        <w:t xml:space="preserve"> е поднесен</w:t>
      </w:r>
      <w:r w:rsidR="002C0CF9">
        <w:rPr>
          <w:lang w:val="mk-MK"/>
        </w:rPr>
        <w:t>а</w:t>
      </w:r>
      <w:r w:rsidRPr="00704821">
        <w:rPr>
          <w:lang w:val="mk-MK"/>
        </w:rPr>
        <w:t xml:space="preserve"> како партнерство од две или повеќе општини, сумите од претходниот параграф </w:t>
      </w:r>
      <w:r w:rsidR="00F946C0">
        <w:rPr>
          <w:lang w:val="mk-MK"/>
        </w:rPr>
        <w:t xml:space="preserve">ќе се зголемат за 10.000 долари за секоја дополнителна општина – </w:t>
      </w:r>
      <w:r w:rsidRPr="00704821">
        <w:rPr>
          <w:lang w:val="mk-MK"/>
        </w:rPr>
        <w:t>на</w:t>
      </w:r>
      <w:r w:rsidR="00F946C0">
        <w:rPr>
          <w:lang w:val="mk-MK"/>
        </w:rPr>
        <w:t xml:space="preserve"> </w:t>
      </w:r>
      <w:r w:rsidRPr="00704821">
        <w:rPr>
          <w:lang w:val="mk-MK"/>
        </w:rPr>
        <w:t>пример</w:t>
      </w:r>
      <w:r w:rsidR="00F946C0">
        <w:rPr>
          <w:lang w:val="mk-MK"/>
        </w:rPr>
        <w:t>,</w:t>
      </w:r>
      <w:r w:rsidRPr="00704821">
        <w:rPr>
          <w:lang w:val="mk-MK"/>
        </w:rPr>
        <w:t xml:space="preserve"> </w:t>
      </w:r>
      <w:r w:rsidR="00F946C0">
        <w:rPr>
          <w:lang w:val="mk-MK"/>
        </w:rPr>
        <w:t>4</w:t>
      </w:r>
      <w:r w:rsidRPr="00704821">
        <w:rPr>
          <w:lang w:val="mk-MK"/>
        </w:rPr>
        <w:t xml:space="preserve">0.000 </w:t>
      </w:r>
      <w:r w:rsidR="004B0709" w:rsidRPr="00704821">
        <w:rPr>
          <w:lang w:val="mk-MK"/>
        </w:rPr>
        <w:t xml:space="preserve">долари </w:t>
      </w:r>
      <w:r w:rsidRPr="00704821">
        <w:rPr>
          <w:lang w:val="mk-MK"/>
        </w:rPr>
        <w:t>за 2 општини што настапуваат како партнери</w:t>
      </w:r>
      <w:r w:rsidR="00F946C0">
        <w:rPr>
          <w:lang w:val="mk-MK"/>
        </w:rPr>
        <w:t>, 5</w:t>
      </w:r>
      <w:r w:rsidR="00F946C0" w:rsidRPr="00704821">
        <w:rPr>
          <w:lang w:val="mk-MK"/>
        </w:rPr>
        <w:t xml:space="preserve">0.000 долари за </w:t>
      </w:r>
      <w:r w:rsidR="00F946C0">
        <w:rPr>
          <w:lang w:val="mk-MK"/>
        </w:rPr>
        <w:t>3</w:t>
      </w:r>
      <w:r w:rsidR="00F946C0" w:rsidRPr="00704821">
        <w:rPr>
          <w:lang w:val="mk-MK"/>
        </w:rPr>
        <w:t xml:space="preserve"> општини</w:t>
      </w:r>
      <w:r w:rsidR="00F946C0">
        <w:rPr>
          <w:lang w:val="mk-MK"/>
        </w:rPr>
        <w:t xml:space="preserve"> итн</w:t>
      </w:r>
      <w:r w:rsidRPr="00704821">
        <w:rPr>
          <w:lang w:val="mk-MK"/>
        </w:rPr>
        <w:t>.</w:t>
      </w:r>
      <w:r w:rsidR="00E17194" w:rsidRPr="00704821">
        <w:t xml:space="preserve"> </w:t>
      </w:r>
      <w:r w:rsidRPr="00704821">
        <w:rPr>
          <w:lang w:val="mk-MK"/>
        </w:rPr>
        <w:t xml:space="preserve">Правилото за минимален износ останува исто </w:t>
      </w:r>
      <w:r w:rsidR="00F946C0">
        <w:rPr>
          <w:lang w:val="mk-MK"/>
        </w:rPr>
        <w:t xml:space="preserve">независно од </w:t>
      </w:r>
      <w:r w:rsidRPr="00704821">
        <w:rPr>
          <w:lang w:val="mk-MK"/>
        </w:rPr>
        <w:t>договорот за партнерство.</w:t>
      </w:r>
      <w:r w:rsidR="00F946C0">
        <w:rPr>
          <w:lang w:val="mk-MK"/>
        </w:rPr>
        <w:t xml:space="preserve"> Во случајот на регионалните центри, не постои можност за нивни заеднички апликации. </w:t>
      </w:r>
    </w:p>
    <w:p w14:paraId="751B01C0" w14:textId="77777777" w:rsidR="002C0CF9" w:rsidRDefault="002C0CF9" w:rsidP="00704821">
      <w:pPr>
        <w:jc w:val="both"/>
        <w:rPr>
          <w:lang w:val="mk-MK"/>
        </w:rPr>
      </w:pPr>
    </w:p>
    <w:p w14:paraId="24A0AB25" w14:textId="77777777" w:rsidR="00FD37B2" w:rsidRDefault="00704821" w:rsidP="00704821">
      <w:pPr>
        <w:jc w:val="both"/>
        <w:rPr>
          <w:lang w:val="mk-MK"/>
        </w:rPr>
      </w:pPr>
      <w:r w:rsidRPr="00704821">
        <w:rPr>
          <w:lang w:val="mk-MK"/>
        </w:rPr>
        <w:t>Максималн</w:t>
      </w:r>
      <w:r w:rsidR="002C0CF9">
        <w:rPr>
          <w:lang w:val="mk-MK"/>
        </w:rPr>
        <w:t xml:space="preserve">ата </w:t>
      </w:r>
      <w:r w:rsidRPr="00704821">
        <w:rPr>
          <w:lang w:val="mk-MK"/>
        </w:rPr>
        <w:t>поддршка согласно овој Повик за предлози е 100%, на пр. нема потреба за кофинансирање од барателите во случаи кога конечниот износ за поддршка, утврден преку процедури за избор и набавка, влегува во рамки на ограничувањата опишани горе.</w:t>
      </w:r>
      <w:r w:rsidR="00782A45">
        <w:rPr>
          <w:lang w:val="mk-MK"/>
        </w:rPr>
        <w:t xml:space="preserve"> </w:t>
      </w:r>
    </w:p>
    <w:p w14:paraId="1C21C9C5" w14:textId="77777777" w:rsidR="00FD37B2" w:rsidRDefault="00FD37B2" w:rsidP="00704821">
      <w:pPr>
        <w:jc w:val="both"/>
        <w:rPr>
          <w:lang w:val="mk-MK"/>
        </w:rPr>
      </w:pPr>
    </w:p>
    <w:p w14:paraId="310CF196" w14:textId="42D262B6" w:rsidR="00182076" w:rsidRPr="00704821" w:rsidRDefault="00704821" w:rsidP="00704821">
      <w:pPr>
        <w:jc w:val="both"/>
      </w:pPr>
      <w:r w:rsidRPr="00704821">
        <w:rPr>
          <w:lang w:val="mk-MK"/>
        </w:rPr>
        <w:t xml:space="preserve">Меѓутоа, во случаи кога овој конечен износ ги надминува овие ограничувања, барателот ќе треба да обезбеди кофинансирање </w:t>
      </w:r>
      <w:r w:rsidR="00782A45" w:rsidRPr="00704821">
        <w:rPr>
          <w:lang w:val="mk-MK"/>
        </w:rPr>
        <w:t xml:space="preserve">од сопствени или други извори </w:t>
      </w:r>
      <w:r w:rsidR="00782A45">
        <w:rPr>
          <w:lang w:val="mk-MK"/>
        </w:rPr>
        <w:t>за постигнување на</w:t>
      </w:r>
      <w:r w:rsidRPr="00704821">
        <w:rPr>
          <w:lang w:val="mk-MK"/>
        </w:rPr>
        <w:t xml:space="preserve"> крајниот износ.</w:t>
      </w:r>
    </w:p>
    <w:p w14:paraId="589CD81E" w14:textId="14EA4B5F" w:rsidR="00182076" w:rsidRDefault="00182076"/>
    <w:p w14:paraId="7B5A3B0C" w14:textId="77777777" w:rsidR="00BC700E" w:rsidRPr="00EE14DB" w:rsidRDefault="00BC700E"/>
    <w:p w14:paraId="141BD277" w14:textId="11360E29" w:rsidR="00C453E4" w:rsidRPr="00EE14DB" w:rsidRDefault="00C453E4" w:rsidP="00704821">
      <w:pPr>
        <w:rPr>
          <w:b/>
        </w:rPr>
      </w:pPr>
      <w:r w:rsidRPr="00EE14DB">
        <w:rPr>
          <w:b/>
        </w:rPr>
        <w:t xml:space="preserve">2. </w:t>
      </w:r>
      <w:r w:rsidR="00704821" w:rsidRPr="00704821">
        <w:rPr>
          <w:b/>
          <w:lang w:val="mk-MK"/>
        </w:rPr>
        <w:t>ПРАВИЛА НА ПОВИКОТ ЗА ПРЕДЛОЗИ</w:t>
      </w:r>
      <w:r w:rsidRPr="00704821">
        <w:rPr>
          <w:b/>
        </w:rPr>
        <w:tab/>
      </w:r>
    </w:p>
    <w:p w14:paraId="0A65D15C" w14:textId="77777777" w:rsidR="00C453E4" w:rsidRPr="00EE14DB" w:rsidRDefault="00C453E4" w:rsidP="00C453E4">
      <w:pPr>
        <w:rPr>
          <w:b/>
        </w:rPr>
      </w:pPr>
    </w:p>
    <w:p w14:paraId="7F1D7DC0" w14:textId="61C9FC61" w:rsidR="00182076" w:rsidRPr="00704821" w:rsidRDefault="00704821" w:rsidP="00704821">
      <w:pPr>
        <w:rPr>
          <w:b/>
        </w:rPr>
      </w:pPr>
      <w:r w:rsidRPr="00704821">
        <w:rPr>
          <w:b/>
          <w:lang w:val="mk-MK"/>
        </w:rPr>
        <w:t>2.1. Критериуми за подобност</w:t>
      </w:r>
    </w:p>
    <w:p w14:paraId="296E2BF5" w14:textId="77777777" w:rsidR="00C453E4" w:rsidRPr="00EE14DB" w:rsidRDefault="00C453E4" w:rsidP="00C453E4"/>
    <w:p w14:paraId="02991D91" w14:textId="1CE40C01" w:rsidR="00C453E4" w:rsidRPr="00EE14DB" w:rsidRDefault="00704821" w:rsidP="00704821">
      <w:pPr>
        <w:rPr>
          <w:u w:val="single"/>
        </w:rPr>
      </w:pPr>
      <w:r w:rsidRPr="00704821">
        <w:rPr>
          <w:u w:val="single"/>
          <w:lang w:val="mk-MK"/>
        </w:rPr>
        <w:t>2.1.1. Подобност на барателите– кој може да се пријави?</w:t>
      </w:r>
      <w:r w:rsidR="00C453E4" w:rsidRPr="00782A45">
        <w:tab/>
      </w:r>
    </w:p>
    <w:p w14:paraId="470FE2B2" w14:textId="73AD3204" w:rsidR="00A76C67" w:rsidRPr="00EE14DB" w:rsidRDefault="00704821" w:rsidP="00704821">
      <w:pPr>
        <w:jc w:val="both"/>
      </w:pPr>
      <w:r w:rsidRPr="00704821">
        <w:rPr>
          <w:lang w:val="mk-MK"/>
        </w:rPr>
        <w:lastRenderedPageBreak/>
        <w:t>Единствените подобни баратели согласно овој Повик за предлози се општините и осумте регионални центри во Република Северна Македонија</w:t>
      </w:r>
      <w:r w:rsidRPr="00704821">
        <w:rPr>
          <w:rStyle w:val="FootnoteReference"/>
          <w:lang w:val="mk-MK"/>
        </w:rPr>
        <w:footnoteReference w:id="3"/>
      </w:r>
      <w:r w:rsidRPr="00704821">
        <w:rPr>
          <w:lang w:val="mk-MK"/>
        </w:rPr>
        <w:t>.</w:t>
      </w:r>
      <w:r w:rsidR="00C453E4" w:rsidRPr="00704821">
        <w:t xml:space="preserve"> </w:t>
      </w:r>
    </w:p>
    <w:p w14:paraId="6EBE0B35" w14:textId="77777777" w:rsidR="00576C7D" w:rsidRDefault="00576C7D" w:rsidP="00093A3C">
      <w:pPr>
        <w:jc w:val="both"/>
      </w:pPr>
    </w:p>
    <w:p w14:paraId="4778A826" w14:textId="586ED297" w:rsidR="00C453E4" w:rsidRDefault="00704821" w:rsidP="00704821">
      <w:pPr>
        <w:jc w:val="both"/>
      </w:pPr>
      <w:r w:rsidRPr="00704821">
        <w:rPr>
          <w:lang w:val="mk-MK"/>
        </w:rPr>
        <w:t>Краен корисник, на пр</w:t>
      </w:r>
      <w:r w:rsidR="000F154A">
        <w:rPr>
          <w:lang w:val="mk-MK"/>
        </w:rPr>
        <w:t>имер</w:t>
      </w:r>
      <w:r w:rsidRPr="00704821">
        <w:rPr>
          <w:lang w:val="mk-MK"/>
        </w:rPr>
        <w:t xml:space="preserve"> корисник на изработената техничка документација</w:t>
      </w:r>
      <w:r w:rsidR="00A337DE">
        <w:rPr>
          <w:lang w:val="mk-MK"/>
        </w:rPr>
        <w:t>,</w:t>
      </w:r>
      <w:r w:rsidRPr="00704821">
        <w:rPr>
          <w:lang w:val="mk-MK"/>
        </w:rPr>
        <w:t xml:space="preserve"> може да биде </w:t>
      </w:r>
      <w:r w:rsidR="00A337DE">
        <w:rPr>
          <w:lang w:val="mk-MK"/>
        </w:rPr>
        <w:t>се</w:t>
      </w:r>
      <w:r w:rsidRPr="00704821">
        <w:rPr>
          <w:lang w:val="mk-MK"/>
        </w:rPr>
        <w:t>која јавна институција финансирана од општината којашто се пријавила, а која работи на територијата на таа општина, како што се јавните комунални претпријатија и компаниите за одржување на комуналната инфраструктура, училишта, градинки и други институции.</w:t>
      </w:r>
      <w:r w:rsidR="000842AE" w:rsidRPr="00704821">
        <w:t xml:space="preserve"> </w:t>
      </w:r>
      <w:r w:rsidRPr="00704821">
        <w:rPr>
          <w:lang w:val="mk-MK"/>
        </w:rPr>
        <w:t xml:space="preserve">Таквата институција може да има и улога на </w:t>
      </w:r>
      <w:r w:rsidRPr="00CB678F">
        <w:rPr>
          <w:lang w:val="mk-MK"/>
        </w:rPr>
        <w:t>партнер</w:t>
      </w:r>
      <w:r w:rsidRPr="00704821">
        <w:rPr>
          <w:lang w:val="mk-MK"/>
        </w:rPr>
        <w:t xml:space="preserve"> во пријавата, при што нејзини вработени ќе преземат обврски во рамките на спроведувањето.</w:t>
      </w:r>
      <w:r w:rsidR="00576C7D" w:rsidRPr="00704821">
        <w:t xml:space="preserve"> </w:t>
      </w:r>
      <w:r w:rsidRPr="00704821">
        <w:rPr>
          <w:lang w:val="mk-MK"/>
        </w:rPr>
        <w:t>Меѓутоа, пријавата мора да биде поднесена и потпишана, а спроведувањето да биде гарантирано од одговорно лице од општината што се пријавила.</w:t>
      </w:r>
      <w:r w:rsidR="000842AE" w:rsidRPr="00704821">
        <w:t xml:space="preserve"> </w:t>
      </w:r>
    </w:p>
    <w:p w14:paraId="43517C95" w14:textId="77777777" w:rsidR="00A337DE" w:rsidRPr="00EE14DB" w:rsidRDefault="00A337DE" w:rsidP="00704821">
      <w:pPr>
        <w:jc w:val="both"/>
      </w:pPr>
    </w:p>
    <w:p w14:paraId="7AD79058" w14:textId="7D4EAB0A" w:rsidR="000842AE" w:rsidRPr="00704821" w:rsidRDefault="00704821" w:rsidP="00704821">
      <w:pPr>
        <w:jc w:val="both"/>
      </w:pPr>
      <w:r w:rsidRPr="00704821">
        <w:rPr>
          <w:lang w:val="mk-MK"/>
        </w:rPr>
        <w:t>Учеството на крајниот корисник во спроведувањето, на пр. изработка</w:t>
      </w:r>
      <w:r w:rsidR="001E1A39">
        <w:rPr>
          <w:lang w:val="mk-MK"/>
        </w:rPr>
        <w:t>та</w:t>
      </w:r>
      <w:r w:rsidRPr="00704821">
        <w:rPr>
          <w:lang w:val="mk-MK"/>
        </w:rPr>
        <w:t xml:space="preserve"> на бараната техничка документација, треба да се опише и објасни во Формуларот за </w:t>
      </w:r>
      <w:r w:rsidR="001E1A39">
        <w:rPr>
          <w:lang w:val="mk-MK"/>
        </w:rPr>
        <w:t>пријавување</w:t>
      </w:r>
      <w:r w:rsidRPr="00704821">
        <w:rPr>
          <w:lang w:val="mk-MK"/>
        </w:rPr>
        <w:t xml:space="preserve">. </w:t>
      </w:r>
    </w:p>
    <w:p w14:paraId="06D72104" w14:textId="77777777" w:rsidR="001E1A39" w:rsidRDefault="001E1A39" w:rsidP="00704821">
      <w:pPr>
        <w:jc w:val="both"/>
        <w:rPr>
          <w:lang w:val="mk-MK"/>
        </w:rPr>
      </w:pPr>
    </w:p>
    <w:p w14:paraId="3AC9784E" w14:textId="6FC32856" w:rsidR="00A76C67" w:rsidRPr="00704821" w:rsidRDefault="00704821" w:rsidP="00704821">
      <w:pPr>
        <w:jc w:val="both"/>
      </w:pPr>
      <w:r w:rsidRPr="00704821">
        <w:rPr>
          <w:lang w:val="mk-MK"/>
        </w:rPr>
        <w:t xml:space="preserve">Во случаи кога пријавата е поднесена </w:t>
      </w:r>
      <w:r w:rsidR="00F74255">
        <w:rPr>
          <w:lang w:val="mk-MK"/>
        </w:rPr>
        <w:t>како</w:t>
      </w:r>
      <w:r w:rsidRPr="00704821">
        <w:rPr>
          <w:lang w:val="mk-MK"/>
        </w:rPr>
        <w:t xml:space="preserve"> партнерство </w:t>
      </w:r>
      <w:r w:rsidR="00F74255">
        <w:rPr>
          <w:lang w:val="mk-MK"/>
        </w:rPr>
        <w:t>на</w:t>
      </w:r>
      <w:r w:rsidRPr="00704821">
        <w:rPr>
          <w:lang w:val="mk-MK"/>
        </w:rPr>
        <w:t xml:space="preserve"> две или повеќе општини, една од нив треба да биде назначена како водечки партнер.</w:t>
      </w:r>
      <w:r w:rsidR="00CE3AD9" w:rsidRPr="00704821">
        <w:t xml:space="preserve"> </w:t>
      </w:r>
      <w:r w:rsidRPr="00704821">
        <w:rPr>
          <w:lang w:val="mk-MK"/>
        </w:rPr>
        <w:t xml:space="preserve">Во случаи кога партнерот на општината е еден од јавните субјекти во сопственост или на друг начин </w:t>
      </w:r>
      <w:r w:rsidR="00F74255">
        <w:rPr>
          <w:lang w:val="mk-MK"/>
        </w:rPr>
        <w:t>под контрола на</w:t>
      </w:r>
      <w:r w:rsidRPr="00704821">
        <w:rPr>
          <w:lang w:val="mk-MK"/>
        </w:rPr>
        <w:t xml:space="preserve"> општинските власти </w:t>
      </w:r>
      <w:r w:rsidR="00F74255" w:rsidRPr="00704821">
        <w:rPr>
          <w:lang w:val="mk-MK"/>
        </w:rPr>
        <w:t xml:space="preserve">општината </w:t>
      </w:r>
      <w:r w:rsidR="00F74255">
        <w:rPr>
          <w:lang w:val="mk-MK"/>
        </w:rPr>
        <w:t xml:space="preserve">секогаш ќе биде </w:t>
      </w:r>
      <w:r w:rsidRPr="00704821">
        <w:rPr>
          <w:lang w:val="mk-MK"/>
        </w:rPr>
        <w:t>водечки</w:t>
      </w:r>
      <w:r w:rsidR="00F74255">
        <w:rPr>
          <w:lang w:val="mk-MK"/>
        </w:rPr>
        <w:t>от</w:t>
      </w:r>
      <w:r w:rsidRPr="00704821">
        <w:rPr>
          <w:lang w:val="mk-MK"/>
        </w:rPr>
        <w:t xml:space="preserve"> партнер.</w:t>
      </w:r>
      <w:r w:rsidR="00576C7D" w:rsidRPr="00704821">
        <w:t xml:space="preserve"> </w:t>
      </w:r>
      <w:r w:rsidRPr="00704821">
        <w:rPr>
          <w:lang w:val="mk-MK"/>
        </w:rPr>
        <w:t xml:space="preserve">Индивидуалните улоги на секој партнер во таква заедничка пријава треба да бидат објаснети во горенаведениот дел од Формуларот за </w:t>
      </w:r>
      <w:r w:rsidR="001E1A39">
        <w:rPr>
          <w:lang w:val="mk-MK"/>
        </w:rPr>
        <w:t>пријавување</w:t>
      </w:r>
      <w:r w:rsidRPr="00704821">
        <w:rPr>
          <w:lang w:val="mk-MK"/>
        </w:rPr>
        <w:t>, како и во Договорот за партнерство</w:t>
      </w:r>
      <w:r w:rsidRPr="00704821">
        <w:rPr>
          <w:rStyle w:val="FootnoteReference"/>
          <w:lang w:val="mk-MK"/>
        </w:rPr>
        <w:footnoteReference w:id="4"/>
      </w:r>
      <w:r w:rsidRPr="00704821">
        <w:rPr>
          <w:lang w:val="mk-MK"/>
        </w:rPr>
        <w:t>.</w:t>
      </w:r>
      <w:r w:rsidR="00576C7D" w:rsidRPr="00704821">
        <w:t xml:space="preserve"> </w:t>
      </w:r>
    </w:p>
    <w:p w14:paraId="6756D1BC" w14:textId="77777777" w:rsidR="00576C7D" w:rsidRDefault="00576C7D" w:rsidP="00093A3C">
      <w:pPr>
        <w:jc w:val="both"/>
      </w:pPr>
    </w:p>
    <w:p w14:paraId="17266F00" w14:textId="6E39A267" w:rsidR="00121CAA" w:rsidRPr="00704821" w:rsidRDefault="00704821" w:rsidP="00704821">
      <w:pPr>
        <w:jc w:val="both"/>
        <w:rPr>
          <w:u w:val="single"/>
        </w:rPr>
      </w:pPr>
      <w:r w:rsidRPr="00704821">
        <w:rPr>
          <w:u w:val="single"/>
          <w:lang w:val="mk-MK"/>
        </w:rPr>
        <w:t xml:space="preserve">2.1.2. Број на пријави – дали барателите од Првиот повик можат да поднесат друга пријава за Вториот повик и како се </w:t>
      </w:r>
      <w:r w:rsidR="008C116F">
        <w:rPr>
          <w:u w:val="single"/>
          <w:lang w:val="mk-MK"/>
        </w:rPr>
        <w:t>прави пресметката за</w:t>
      </w:r>
      <w:r w:rsidRPr="00704821">
        <w:rPr>
          <w:u w:val="single"/>
          <w:lang w:val="mk-MK"/>
        </w:rPr>
        <w:t xml:space="preserve"> партнерствата?</w:t>
      </w:r>
    </w:p>
    <w:p w14:paraId="03A2FCA5" w14:textId="7353BBB3" w:rsidR="00C453E4" w:rsidRPr="00704821" w:rsidRDefault="00704821" w:rsidP="00704821">
      <w:pPr>
        <w:jc w:val="both"/>
        <w:rPr>
          <w:u w:val="single"/>
        </w:rPr>
      </w:pPr>
      <w:r w:rsidRPr="00704821">
        <w:rPr>
          <w:lang w:val="mk-MK"/>
        </w:rPr>
        <w:t xml:space="preserve">Секоја општина може да поднесе </w:t>
      </w:r>
      <w:r w:rsidRPr="000F154A">
        <w:rPr>
          <w:b/>
          <w:bCs/>
          <w:lang w:val="mk-MK"/>
        </w:rPr>
        <w:t>САМО ЕДН</w:t>
      </w:r>
      <w:r w:rsidR="001E1A39" w:rsidRPr="000F154A">
        <w:rPr>
          <w:b/>
          <w:bCs/>
          <w:lang w:val="mk-MK"/>
        </w:rPr>
        <w:t>А</w:t>
      </w:r>
      <w:r w:rsidRPr="00704821">
        <w:rPr>
          <w:lang w:val="mk-MK"/>
        </w:rPr>
        <w:t xml:space="preserve"> </w:t>
      </w:r>
      <w:r w:rsidR="001E1A39">
        <w:rPr>
          <w:lang w:val="mk-MK"/>
        </w:rPr>
        <w:t>пријава</w:t>
      </w:r>
      <w:r w:rsidRPr="00704821">
        <w:rPr>
          <w:lang w:val="mk-MK"/>
        </w:rPr>
        <w:t>, без разлика дали е поединечна или во партнерство со друга општина</w:t>
      </w:r>
      <w:r w:rsidR="008C116F">
        <w:rPr>
          <w:lang w:val="mk-MK"/>
        </w:rPr>
        <w:t>(</w:t>
      </w:r>
      <w:r w:rsidRPr="00704821">
        <w:rPr>
          <w:lang w:val="mk-MK"/>
        </w:rPr>
        <w:t>и</w:t>
      </w:r>
      <w:r w:rsidR="008C116F">
        <w:rPr>
          <w:lang w:val="mk-MK"/>
        </w:rPr>
        <w:t>)</w:t>
      </w:r>
      <w:r w:rsidRPr="00704821">
        <w:rPr>
          <w:lang w:val="mk-MK"/>
        </w:rPr>
        <w:t>.</w:t>
      </w:r>
      <w:r w:rsidR="00576C7D" w:rsidRPr="00704821">
        <w:t xml:space="preserve"> </w:t>
      </w:r>
      <w:r w:rsidRPr="00704821">
        <w:rPr>
          <w:lang w:val="mk-MK"/>
        </w:rPr>
        <w:t>Меѓутоа ова не важи за пријавите поднесени од Регионалните центри.</w:t>
      </w:r>
      <w:r w:rsidR="00576C7D" w:rsidRPr="00704821">
        <w:t xml:space="preserve"> </w:t>
      </w:r>
      <w:r w:rsidRPr="00704821">
        <w:rPr>
          <w:lang w:val="mk-MK"/>
        </w:rPr>
        <w:t xml:space="preserve">Ова значи дека општината може да поднесе сопствена ИЛИ меѓуопштинска партнерска пријава, </w:t>
      </w:r>
      <w:r w:rsidR="006B32C4">
        <w:rPr>
          <w:lang w:val="mk-MK"/>
        </w:rPr>
        <w:t>и</w:t>
      </w:r>
      <w:r w:rsidR="006B32C4" w:rsidRPr="00704821">
        <w:rPr>
          <w:lang w:val="mk-MK"/>
        </w:rPr>
        <w:t xml:space="preserve"> </w:t>
      </w:r>
      <w:r w:rsidRPr="00704821">
        <w:rPr>
          <w:lang w:val="mk-MK"/>
        </w:rPr>
        <w:t>во исто време да биде наведена како корисник во пријава поднесена од Регионалниот центар.</w:t>
      </w:r>
      <w:r w:rsidR="00E10B1F" w:rsidRPr="00704821">
        <w:t xml:space="preserve"> </w:t>
      </w:r>
      <w:r w:rsidRPr="00704821">
        <w:rPr>
          <w:u w:val="single"/>
          <w:lang w:val="mk-MK"/>
        </w:rPr>
        <w:t xml:space="preserve">Регионалните центри можат да поднесат САМО ЕДНА пријава, без разлика на бројот на општини </w:t>
      </w:r>
      <w:r w:rsidR="006B32C4">
        <w:rPr>
          <w:u w:val="single"/>
          <w:lang w:val="mk-MK"/>
        </w:rPr>
        <w:t>во планскиот регион</w:t>
      </w:r>
      <w:r w:rsidRPr="00704821">
        <w:rPr>
          <w:u w:val="single"/>
          <w:lang w:val="mk-MK"/>
        </w:rPr>
        <w:t>.</w:t>
      </w:r>
      <w:r w:rsidR="008C116F">
        <w:rPr>
          <w:u w:val="single"/>
          <w:lang w:val="mk-MK"/>
        </w:rPr>
        <w:t xml:space="preserve"> </w:t>
      </w:r>
    </w:p>
    <w:p w14:paraId="77033436" w14:textId="77777777" w:rsidR="00576C7D" w:rsidRPr="00EE14DB" w:rsidRDefault="00576C7D" w:rsidP="00C453E4">
      <w:pPr>
        <w:rPr>
          <w:u w:val="single"/>
        </w:rPr>
      </w:pPr>
    </w:p>
    <w:p w14:paraId="1EC30AF4" w14:textId="125A297A" w:rsidR="008F5109" w:rsidRPr="00704821" w:rsidRDefault="00704821" w:rsidP="008C116F">
      <w:pPr>
        <w:jc w:val="both"/>
        <w:rPr>
          <w:u w:val="single"/>
        </w:rPr>
      </w:pPr>
      <w:r w:rsidRPr="00704821">
        <w:rPr>
          <w:u w:val="single"/>
          <w:lang w:val="mk-MK"/>
        </w:rPr>
        <w:t>2.1.3. Подобност на проектите – кои видови на проекти можат да добијат финансиски средства?</w:t>
      </w:r>
    </w:p>
    <w:p w14:paraId="3B87F148" w14:textId="27F5E598" w:rsidR="004C3236" w:rsidRPr="00EE14DB" w:rsidRDefault="00704821" w:rsidP="00704821">
      <w:pPr>
        <w:jc w:val="both"/>
      </w:pPr>
      <w:r w:rsidRPr="00704821">
        <w:rPr>
          <w:lang w:val="mk-MK"/>
        </w:rPr>
        <w:t>Подобноста на проектите за локален развој коишто можат да добијат финансиски средства во фазата на подготовка (формулација) согласно овој Повик за предлози била одредена (примарно) од нивото на остварување на релевантните Цели за одржлив развој (ЦОР) на национално ниво, како и од анализата на состојбата и податоците што ги обезбедуваат општините при градењето на Индексот на развиеност на општините (ИРО).</w:t>
      </w:r>
      <w:r w:rsidR="0058333F" w:rsidRPr="00704821">
        <w:t xml:space="preserve"> </w:t>
      </w:r>
    </w:p>
    <w:p w14:paraId="4B88670D" w14:textId="77777777" w:rsidR="006B32C4" w:rsidRDefault="006B32C4" w:rsidP="00675974">
      <w:pPr>
        <w:jc w:val="both"/>
        <w:rPr>
          <w:lang w:val="mk-MK"/>
        </w:rPr>
      </w:pPr>
    </w:p>
    <w:p w14:paraId="69402B4C" w14:textId="4ACD92E0" w:rsidR="00237C77" w:rsidRPr="00675974" w:rsidRDefault="00704821" w:rsidP="00675974">
      <w:pPr>
        <w:jc w:val="both"/>
      </w:pPr>
      <w:r w:rsidRPr="00675974">
        <w:rPr>
          <w:lang w:val="mk-MK"/>
        </w:rPr>
        <w:lastRenderedPageBreak/>
        <w:t>Подобни се оние проекти што потпаѓаат под следниве 3 главни групи:</w:t>
      </w:r>
    </w:p>
    <w:p w14:paraId="5DCA0223" w14:textId="77777777" w:rsidR="00237C77" w:rsidRPr="00EE14DB" w:rsidRDefault="00237C77" w:rsidP="00237C77"/>
    <w:p w14:paraId="29C0D866" w14:textId="02A7220D" w:rsidR="00237C77" w:rsidRPr="00EE14DB" w:rsidRDefault="00237C77" w:rsidP="009D7AB3">
      <w:r w:rsidRPr="00EE14DB">
        <w:t xml:space="preserve">1. </w:t>
      </w:r>
      <w:r w:rsidR="009D7AB3" w:rsidRPr="009D7AB3">
        <w:rPr>
          <w:lang w:val="mk-MK"/>
        </w:rPr>
        <w:t>Комунална, транспортна и бизнис инфраструктура:</w:t>
      </w:r>
      <w:r w:rsidRPr="009D7AB3">
        <w:t xml:space="preserve"> </w:t>
      </w:r>
    </w:p>
    <w:p w14:paraId="59EA7688" w14:textId="2CF986E2" w:rsidR="009D7AB3" w:rsidRPr="009D7AB3" w:rsidRDefault="009D7AB3" w:rsidP="009D7AB3">
      <w:pPr>
        <w:pStyle w:val="ListParagraph"/>
        <w:numPr>
          <w:ilvl w:val="0"/>
          <w:numId w:val="6"/>
        </w:numPr>
        <w:jc w:val="both"/>
      </w:pPr>
      <w:r w:rsidRPr="009D7AB3">
        <w:rPr>
          <w:lang w:val="mk-MK"/>
        </w:rPr>
        <w:t>(</w:t>
      </w:r>
      <w:r w:rsidR="000F154A">
        <w:rPr>
          <w:lang w:val="mk-MK"/>
        </w:rPr>
        <w:t>Р</w:t>
      </w:r>
      <w:r w:rsidR="005C4514" w:rsidRPr="009D7AB3">
        <w:rPr>
          <w:lang w:val="mk-MK"/>
        </w:rPr>
        <w:t>е</w:t>
      </w:r>
      <w:r w:rsidRPr="009D7AB3">
        <w:rPr>
          <w:lang w:val="mk-MK"/>
        </w:rPr>
        <w:t>)конструкција на локални патишта, вклучувајќи асфалтирање и изградба на тротоари.</w:t>
      </w:r>
      <w:r w:rsidRPr="009D7AB3">
        <w:t xml:space="preserve"> </w:t>
      </w:r>
      <w:r w:rsidR="005C4514" w:rsidRPr="009D7AB3">
        <w:rPr>
          <w:lang w:val="mk-MK"/>
        </w:rPr>
        <w:t xml:space="preserve">Треба да </w:t>
      </w:r>
      <w:r w:rsidR="005C4514">
        <w:rPr>
          <w:lang w:val="mk-MK"/>
        </w:rPr>
        <w:t>се поднесе д</w:t>
      </w:r>
      <w:r w:rsidRPr="009D7AB3">
        <w:rPr>
          <w:lang w:val="mk-MK"/>
        </w:rPr>
        <w:t xml:space="preserve">оказ дека сообраќајот во моментот предизвикува „тесни грла“, дека претставува пречка за локалниот економски развој или дека постојат проблеми поврзани со безбедноста на возачите, велосипедистите и пешаците; </w:t>
      </w:r>
    </w:p>
    <w:p w14:paraId="73BF342E" w14:textId="1D4BB2E2" w:rsidR="009D7AB3" w:rsidRPr="009D7AB3" w:rsidRDefault="009D7AB3" w:rsidP="009D7AB3">
      <w:pPr>
        <w:pStyle w:val="ListParagraph"/>
        <w:numPr>
          <w:ilvl w:val="0"/>
          <w:numId w:val="6"/>
        </w:numPr>
        <w:jc w:val="both"/>
      </w:pPr>
      <w:r w:rsidRPr="009D7AB3">
        <w:rPr>
          <w:lang w:val="mk-MK"/>
        </w:rPr>
        <w:t>изградба и обнова на мрежата за водоснабдување (главниот цевковод, дистрибутивната мрежа, канализацијата, и др.);</w:t>
      </w:r>
    </w:p>
    <w:p w14:paraId="51655BA9" w14:textId="7C1A3E6C" w:rsidR="009D7AB3" w:rsidRPr="009D7AB3" w:rsidRDefault="009D7AB3" w:rsidP="009D7AB3">
      <w:pPr>
        <w:pStyle w:val="ListParagraph"/>
        <w:numPr>
          <w:ilvl w:val="0"/>
          <w:numId w:val="6"/>
        </w:numPr>
        <w:jc w:val="both"/>
      </w:pPr>
      <w:r w:rsidRPr="009D7AB3">
        <w:rPr>
          <w:lang w:val="mk-MK"/>
        </w:rPr>
        <w:t>локални мостови, пешачки премини, велосипедски и пешачки патеки, јавен транспорт (автобуски постројки, железнички станици, и сл.);</w:t>
      </w:r>
    </w:p>
    <w:p w14:paraId="6FEEFBD7" w14:textId="6EFE23ED" w:rsidR="009D7AB3" w:rsidRDefault="009D7AB3" w:rsidP="009D7AB3">
      <w:pPr>
        <w:pStyle w:val="ListParagraph"/>
        <w:numPr>
          <w:ilvl w:val="0"/>
          <w:numId w:val="6"/>
        </w:numPr>
        <w:jc w:val="both"/>
      </w:pPr>
      <w:r w:rsidRPr="009D7AB3">
        <w:rPr>
          <w:lang w:val="mk-MK"/>
        </w:rPr>
        <w:t>проекти за (ре)конструкција на снабдувањето со електрична енергија, улично осветлување, електрификација или зголемување на капацитетот за инфраструктура за потребите на бизнисите. Потребен е доказ во облик на потпишани договори и/или ќе треба да се поднесат писма за намера;</w:t>
      </w:r>
      <w:r w:rsidRPr="009D7AB3">
        <w:t xml:space="preserve"> </w:t>
      </w:r>
    </w:p>
    <w:p w14:paraId="270A1708" w14:textId="1817768D" w:rsidR="009D7AB3" w:rsidRPr="009D7AB3" w:rsidRDefault="009D7AB3" w:rsidP="009D7AB3">
      <w:pPr>
        <w:pStyle w:val="ListParagraph"/>
        <w:numPr>
          <w:ilvl w:val="0"/>
          <w:numId w:val="6"/>
        </w:numPr>
        <w:jc w:val="both"/>
      </w:pPr>
      <w:r w:rsidRPr="009D7AB3">
        <w:rPr>
          <w:lang w:val="mk-MK"/>
        </w:rPr>
        <w:t>проекти за инфраструктура поврзана со бизнисот ограничени на мали и средни претпријатија (МСП);</w:t>
      </w:r>
      <w:r w:rsidRPr="009D7AB3">
        <w:t xml:space="preserve"> </w:t>
      </w:r>
      <w:r w:rsidRPr="009D7AB3">
        <w:rPr>
          <w:lang w:val="mk-MK"/>
        </w:rPr>
        <w:t>(ре)конструкција на отворени и затворени пазари, деловни и претприемачки зони, бизнис инкубатори, сали за аукции, услови за стартапи, и др.</w:t>
      </w:r>
    </w:p>
    <w:p w14:paraId="536337D0" w14:textId="77777777" w:rsidR="00237C77" w:rsidRPr="00EE14DB" w:rsidRDefault="00237C77" w:rsidP="00237C77"/>
    <w:p w14:paraId="2060FF5B" w14:textId="572BBB77" w:rsidR="00237C77" w:rsidRPr="009D7AB3" w:rsidRDefault="00237C77" w:rsidP="009D7AB3">
      <w:r w:rsidRPr="00EE14DB">
        <w:t xml:space="preserve">2. </w:t>
      </w:r>
      <w:r w:rsidR="009D7AB3" w:rsidRPr="009D7AB3">
        <w:rPr>
          <w:lang w:val="mk-MK"/>
        </w:rPr>
        <w:t>Социјална инфраструктура:</w:t>
      </w:r>
    </w:p>
    <w:p w14:paraId="41243768" w14:textId="43C39F91" w:rsidR="009D7AB3" w:rsidRDefault="009D7AB3" w:rsidP="009D7AB3">
      <w:pPr>
        <w:pStyle w:val="ListParagraph"/>
        <w:numPr>
          <w:ilvl w:val="0"/>
          <w:numId w:val="7"/>
        </w:numPr>
        <w:jc w:val="both"/>
      </w:pPr>
      <w:r w:rsidRPr="009D7AB3">
        <w:rPr>
          <w:rFonts w:ascii="Calibri" w:eastAsia="Times New Roman" w:hAnsi="Calibri" w:cs="Arial"/>
          <w:lang w:val="mk-MK" w:eastAsia="hr-HR"/>
        </w:rPr>
        <w:t>(ре)конструкција на инфраструктурата во образованието и предучилишното образование: училишта и градинки</w:t>
      </w:r>
      <w:r w:rsidRPr="009D7AB3">
        <w:t xml:space="preserve"> </w:t>
      </w:r>
    </w:p>
    <w:p w14:paraId="79CB9229" w14:textId="1D4C8AC7" w:rsidR="009D7AB3" w:rsidRPr="009D7AB3" w:rsidRDefault="009D7AB3" w:rsidP="009D7AB3">
      <w:pPr>
        <w:pStyle w:val="ListParagraph"/>
        <w:numPr>
          <w:ilvl w:val="0"/>
          <w:numId w:val="7"/>
        </w:numPr>
        <w:jc w:val="both"/>
      </w:pPr>
      <w:r w:rsidRPr="009D7AB3">
        <w:rPr>
          <w:lang w:val="mk-MK"/>
        </w:rPr>
        <w:t>(ре)конструкција на установите за грижа за стари лица и инфраструктура</w:t>
      </w:r>
      <w:r w:rsidR="008C116F">
        <w:rPr>
          <w:lang w:val="mk-MK"/>
        </w:rPr>
        <w:t>та околу</w:t>
      </w:r>
      <w:r w:rsidRPr="009D7AB3">
        <w:rPr>
          <w:lang w:val="mk-MK"/>
        </w:rPr>
        <w:t xml:space="preserve"> јавните здравствени установи, </w:t>
      </w:r>
      <w:r w:rsidR="005C4514">
        <w:rPr>
          <w:lang w:val="mk-MK"/>
        </w:rPr>
        <w:t>со посебен</w:t>
      </w:r>
      <w:r w:rsidRPr="009D7AB3">
        <w:rPr>
          <w:lang w:val="mk-MK"/>
        </w:rPr>
        <w:t xml:space="preserve"> фокус на лекциите научени од актуелната епидемија на КОВИД-19 – пристапни патишта и пунктови, паркинзи, пристап до помошни услуги и сл.;</w:t>
      </w:r>
    </w:p>
    <w:p w14:paraId="583185CF" w14:textId="5D0D38D2" w:rsidR="009D7AB3" w:rsidRPr="009D7AB3" w:rsidRDefault="009D7AB3" w:rsidP="009D7AB3">
      <w:pPr>
        <w:pStyle w:val="ListParagraph"/>
        <w:numPr>
          <w:ilvl w:val="0"/>
          <w:numId w:val="7"/>
        </w:numPr>
        <w:jc w:val="both"/>
      </w:pPr>
      <w:r w:rsidRPr="009D7AB3">
        <w:rPr>
          <w:lang w:val="mk-MK"/>
        </w:rPr>
        <w:t>проекти за прилагодување на некоја јавна инфраструктура или друга установа за да стане достапна за лицата со попреченост;</w:t>
      </w:r>
    </w:p>
    <w:p w14:paraId="41C8EEC4" w14:textId="5F49A601" w:rsidR="009D7AB3" w:rsidRPr="009D7AB3" w:rsidRDefault="009D7AB3" w:rsidP="009D7AB3">
      <w:pPr>
        <w:pStyle w:val="ListParagraph"/>
        <w:numPr>
          <w:ilvl w:val="0"/>
          <w:numId w:val="7"/>
        </w:numPr>
        <w:jc w:val="both"/>
      </w:pPr>
      <w:r w:rsidRPr="009D7AB3">
        <w:rPr>
          <w:lang w:val="mk-MK"/>
        </w:rPr>
        <w:t>(ре)конструкција на јавни простори за уживање во природа, спорт, рекреација, семејни и социјални активности и размислување;</w:t>
      </w:r>
    </w:p>
    <w:p w14:paraId="6B067021" w14:textId="0E69348B" w:rsidR="009D7AB3" w:rsidRDefault="009D7AB3" w:rsidP="009D7AB3">
      <w:pPr>
        <w:pStyle w:val="ListParagraph"/>
        <w:numPr>
          <w:ilvl w:val="0"/>
          <w:numId w:val="7"/>
        </w:numPr>
        <w:jc w:val="both"/>
      </w:pPr>
      <w:r w:rsidRPr="009D7AB3">
        <w:rPr>
          <w:lang w:val="mk-MK"/>
        </w:rPr>
        <w:t xml:space="preserve">(ре)конструкција на </w:t>
      </w:r>
      <w:r w:rsidR="005C4514">
        <w:rPr>
          <w:lang w:val="mk-MK"/>
        </w:rPr>
        <w:t>објект</w:t>
      </w:r>
      <w:r w:rsidRPr="009D7AB3">
        <w:rPr>
          <w:lang w:val="mk-MK"/>
        </w:rPr>
        <w:t>и коишто поддржуваат социјална инклузија и благосостојба на заедницата;</w:t>
      </w:r>
      <w:r w:rsidRPr="009D7AB3">
        <w:t xml:space="preserve"> </w:t>
      </w:r>
      <w:r>
        <w:t xml:space="preserve"> </w:t>
      </w:r>
    </w:p>
    <w:p w14:paraId="4B54B6ED" w14:textId="6BC3BDCC" w:rsidR="009D7AB3" w:rsidRPr="009D7AB3" w:rsidRDefault="009D7AB3" w:rsidP="009D7AB3">
      <w:pPr>
        <w:pStyle w:val="ListParagraph"/>
        <w:numPr>
          <w:ilvl w:val="0"/>
          <w:numId w:val="7"/>
        </w:numPr>
        <w:jc w:val="both"/>
      </w:pPr>
      <w:r w:rsidRPr="009D7AB3">
        <w:rPr>
          <w:lang w:val="mk-MK"/>
        </w:rPr>
        <w:t>(ре)конструкција на историски згради или објекти со уметничка или културна вредност.</w:t>
      </w:r>
    </w:p>
    <w:p w14:paraId="08A989EF" w14:textId="77777777" w:rsidR="00237C77" w:rsidRPr="00EE14DB" w:rsidRDefault="00237C77" w:rsidP="00237C77"/>
    <w:p w14:paraId="1AB70F53" w14:textId="4F551B18" w:rsidR="00AC766C" w:rsidRPr="009D7AB3" w:rsidRDefault="00AC766C" w:rsidP="009D7AB3">
      <w:bookmarkStart w:id="3" w:name="_Hlk19869722"/>
      <w:r>
        <w:t xml:space="preserve">3. </w:t>
      </w:r>
      <w:r w:rsidR="009D7AB3" w:rsidRPr="009D7AB3">
        <w:rPr>
          <w:lang w:val="mk-MK"/>
        </w:rPr>
        <w:t>Инфраструктура поврзана со животната средина, климатските промени и водата:</w:t>
      </w:r>
    </w:p>
    <w:p w14:paraId="06EFE09A" w14:textId="6945B18E" w:rsidR="009506CC" w:rsidRPr="009506CC" w:rsidRDefault="005C4514" w:rsidP="009506CC">
      <w:pPr>
        <w:pStyle w:val="ListParagraph"/>
        <w:numPr>
          <w:ilvl w:val="0"/>
          <w:numId w:val="18"/>
        </w:numPr>
        <w:jc w:val="both"/>
      </w:pPr>
      <w:r w:rsidRPr="009506CC">
        <w:rPr>
          <w:lang w:val="mk-MK"/>
        </w:rPr>
        <w:t xml:space="preserve">проекти </w:t>
      </w:r>
      <w:r w:rsidR="009506CC" w:rsidRPr="009506CC">
        <w:rPr>
          <w:lang w:val="mk-MK"/>
        </w:rPr>
        <w:t>за управување со цврст отпад: затворање и/или обнова на депонии; (ре)конструкција на објекти за рециклирање, сортирање или пречистување; опрема за собирање или првичен третман.</w:t>
      </w:r>
      <w:r w:rsidR="009506CC" w:rsidRPr="009506CC">
        <w:t xml:space="preserve"> </w:t>
      </w:r>
      <w:r w:rsidR="009506CC" w:rsidRPr="009506CC">
        <w:rPr>
          <w:lang w:val="mk-MK"/>
        </w:rPr>
        <w:t>Ова треба да биде во согласност со националните стратегиите и насоките и тие на ЕУ.</w:t>
      </w:r>
    </w:p>
    <w:p w14:paraId="232981CA" w14:textId="23E920D2" w:rsidR="009506CC" w:rsidRDefault="005C4514" w:rsidP="009506CC">
      <w:pPr>
        <w:pStyle w:val="ListParagraph"/>
        <w:numPr>
          <w:ilvl w:val="0"/>
          <w:numId w:val="18"/>
        </w:numPr>
        <w:jc w:val="both"/>
      </w:pPr>
      <w:r w:rsidRPr="009506CC">
        <w:rPr>
          <w:lang w:val="mk-MK"/>
        </w:rPr>
        <w:t xml:space="preserve">замена </w:t>
      </w:r>
      <w:r w:rsidR="009506CC" w:rsidRPr="009506CC">
        <w:rPr>
          <w:lang w:val="mk-MK"/>
        </w:rPr>
        <w:t xml:space="preserve">или воведување на системи за централно греење – транзиција кон одржливи извори на енергија, на пример префрлање од фосилни горива на поодржливи извори на </w:t>
      </w:r>
      <w:r w:rsidR="009506CC" w:rsidRPr="009506CC">
        <w:rPr>
          <w:lang w:val="mk-MK"/>
        </w:rPr>
        <w:lastRenderedPageBreak/>
        <w:t>енергија; техничка документација за проценка на потенцијалите за користење на обновливите извори на енергија.</w:t>
      </w:r>
      <w:r w:rsidR="009506CC" w:rsidRPr="009506CC">
        <w:t xml:space="preserve"> </w:t>
      </w:r>
    </w:p>
    <w:bookmarkEnd w:id="3"/>
    <w:p w14:paraId="683BB738" w14:textId="037C1DBA" w:rsidR="009506CC" w:rsidRPr="009506CC" w:rsidRDefault="009506CC" w:rsidP="009506CC">
      <w:pPr>
        <w:pStyle w:val="ListParagraph"/>
        <w:numPr>
          <w:ilvl w:val="0"/>
          <w:numId w:val="8"/>
        </w:numPr>
        <w:jc w:val="both"/>
      </w:pPr>
      <w:r w:rsidRPr="009506CC">
        <w:rPr>
          <w:lang w:val="mk-MK"/>
        </w:rPr>
        <w:t>проекти за водоснабдување: заштита на извори, изградба на цевководи и други делови од системот – пречистителни станици, пумпи, складишта, итн. (до местото каде се врзуваат домаќинствата)</w:t>
      </w:r>
    </w:p>
    <w:p w14:paraId="7E0E4CBF" w14:textId="4B8D1FDE" w:rsidR="009506CC" w:rsidRPr="009506CC" w:rsidRDefault="009506CC" w:rsidP="009506CC">
      <w:pPr>
        <w:pStyle w:val="ListParagraph"/>
        <w:numPr>
          <w:ilvl w:val="0"/>
          <w:numId w:val="8"/>
        </w:numPr>
        <w:jc w:val="both"/>
      </w:pPr>
      <w:r w:rsidRPr="009506CC">
        <w:rPr>
          <w:lang w:val="mk-MK"/>
        </w:rPr>
        <w:t>пречистителни системи за отпадни води, вклучително (ре)конструкција на системите за одводнување и канализација, (ре)конструкција на пречистителните станици за отпадни води;</w:t>
      </w:r>
    </w:p>
    <w:p w14:paraId="57547039" w14:textId="000C6371" w:rsidR="009506CC" w:rsidRPr="009506CC" w:rsidRDefault="009506CC" w:rsidP="009506CC">
      <w:pPr>
        <w:pStyle w:val="ListParagraph"/>
        <w:numPr>
          <w:ilvl w:val="0"/>
          <w:numId w:val="8"/>
        </w:numPr>
        <w:jc w:val="both"/>
      </w:pPr>
      <w:r w:rsidRPr="009506CC">
        <w:rPr>
          <w:lang w:val="mk-MK"/>
        </w:rPr>
        <w:t>(ре)конструкција на речните корита и други мерки за заштита/управување со поплави.</w:t>
      </w:r>
    </w:p>
    <w:p w14:paraId="1C8673A5" w14:textId="77777777" w:rsidR="001B6741" w:rsidRPr="00EE14DB" w:rsidRDefault="001B6741" w:rsidP="00C453E4">
      <w:pPr>
        <w:rPr>
          <w:u w:val="single"/>
        </w:rPr>
      </w:pPr>
    </w:p>
    <w:p w14:paraId="6D0F3B29" w14:textId="1DD42E01" w:rsidR="00436C87" w:rsidRPr="009506CC" w:rsidRDefault="009506CC" w:rsidP="009506CC">
      <w:pPr>
        <w:rPr>
          <w:u w:val="single"/>
        </w:rPr>
      </w:pPr>
      <w:r w:rsidRPr="009506CC">
        <w:rPr>
          <w:u w:val="single"/>
          <w:lang w:val="mk-MK"/>
        </w:rPr>
        <w:t xml:space="preserve">Типови и сектори на проекти </w:t>
      </w:r>
      <w:r w:rsidR="000F154A">
        <w:rPr>
          <w:u w:val="single"/>
          <w:lang w:val="mk-MK"/>
        </w:rPr>
        <w:t>кои</w:t>
      </w:r>
      <w:r w:rsidRPr="009506CC">
        <w:rPr>
          <w:u w:val="single"/>
          <w:lang w:val="mk-MK"/>
        </w:rPr>
        <w:t xml:space="preserve">што не се подобни согласно Повикот за предлози: </w:t>
      </w:r>
    </w:p>
    <w:p w14:paraId="22569BE6" w14:textId="73DD86B3" w:rsidR="009506CC" w:rsidRPr="009506CC" w:rsidRDefault="009506CC" w:rsidP="009506CC">
      <w:pPr>
        <w:pStyle w:val="ListParagraph"/>
        <w:numPr>
          <w:ilvl w:val="0"/>
          <w:numId w:val="9"/>
        </w:numPr>
        <w:jc w:val="both"/>
      </w:pPr>
      <w:r w:rsidRPr="009506CC">
        <w:rPr>
          <w:lang w:val="mk-MK"/>
        </w:rPr>
        <w:t>спортски сали</w:t>
      </w:r>
      <w:r w:rsidR="005C4514">
        <w:rPr>
          <w:lang w:val="mk-MK"/>
        </w:rPr>
        <w:t>,</w:t>
      </w:r>
      <w:r w:rsidRPr="009506CC">
        <w:rPr>
          <w:lang w:val="mk-MK"/>
        </w:rPr>
        <w:t xml:space="preserve"> освен оние што се дел или примарно ги користат и со нив управуваат училиштата;</w:t>
      </w:r>
    </w:p>
    <w:p w14:paraId="71E36FA7" w14:textId="5C5A789E" w:rsidR="009506CC" w:rsidRPr="009506CC" w:rsidRDefault="009506CC" w:rsidP="009506CC">
      <w:pPr>
        <w:pStyle w:val="ListParagraph"/>
        <w:numPr>
          <w:ilvl w:val="0"/>
          <w:numId w:val="9"/>
        </w:numPr>
        <w:jc w:val="both"/>
      </w:pPr>
      <w:r w:rsidRPr="009506CC">
        <w:rPr>
          <w:lang w:val="mk-MK"/>
        </w:rPr>
        <w:t>секој инфраструктурен проект којшто бара решавање на имотно-пр</w:t>
      </w:r>
      <w:r w:rsidR="005C4514">
        <w:rPr>
          <w:lang w:val="mk-MK"/>
        </w:rPr>
        <w:t>а</w:t>
      </w:r>
      <w:r w:rsidRPr="009506CC">
        <w:rPr>
          <w:lang w:val="mk-MK"/>
        </w:rPr>
        <w:t>вни прашања, на пр. имотните права не се јасни или постојат спорови;</w:t>
      </w:r>
    </w:p>
    <w:p w14:paraId="5FFD0BA2" w14:textId="7A2D18AC" w:rsidR="009506CC" w:rsidRPr="009506CC" w:rsidRDefault="009506CC" w:rsidP="009506CC">
      <w:pPr>
        <w:pStyle w:val="ListParagraph"/>
        <w:numPr>
          <w:ilvl w:val="0"/>
          <w:numId w:val="9"/>
        </w:numPr>
        <w:jc w:val="both"/>
      </w:pPr>
      <w:r w:rsidRPr="009506CC">
        <w:rPr>
          <w:lang w:val="mk-MK"/>
        </w:rPr>
        <w:t>секој инфраструктурен проект поврзан со бизнис којшто носи корист на еден корисник и/или на големо претпријатие – компанија или друго правно лице, согласно правилата на ЕУ за автономни, партнерски или поврзани претпријатија</w:t>
      </w:r>
      <w:r w:rsidRPr="009506CC">
        <w:rPr>
          <w:rStyle w:val="FootnoteReference"/>
          <w:lang w:val="mk-MK"/>
        </w:rPr>
        <w:footnoteReference w:id="5"/>
      </w:r>
      <w:r w:rsidRPr="009506CC">
        <w:rPr>
          <w:lang w:val="mk-MK"/>
        </w:rPr>
        <w:t>.</w:t>
      </w:r>
    </w:p>
    <w:p w14:paraId="3CA04DEE" w14:textId="2F187F4A" w:rsidR="009506CC" w:rsidRPr="009506CC" w:rsidRDefault="009506CC" w:rsidP="009506CC">
      <w:pPr>
        <w:pStyle w:val="ListParagraph"/>
        <w:numPr>
          <w:ilvl w:val="0"/>
          <w:numId w:val="9"/>
        </w:numPr>
        <w:jc w:val="both"/>
      </w:pPr>
      <w:r w:rsidRPr="009506CC">
        <w:rPr>
          <w:lang w:val="mk-MK"/>
        </w:rPr>
        <w:t>секој инфраструктурен проект поврзан со животната средина којшто не е во согласност со националните и ЕУ стратегии, законодавство и насоки.</w:t>
      </w:r>
    </w:p>
    <w:p w14:paraId="2CE1FF89" w14:textId="77777777" w:rsidR="00542218" w:rsidRPr="00EE14DB" w:rsidRDefault="00542218" w:rsidP="00542218"/>
    <w:p w14:paraId="7514F4CC" w14:textId="59D7F6A6" w:rsidR="00542218" w:rsidRPr="009506CC" w:rsidRDefault="009506CC" w:rsidP="009506CC">
      <w:pPr>
        <w:jc w:val="both"/>
      </w:pPr>
      <w:r w:rsidRPr="009506CC">
        <w:rPr>
          <w:lang w:val="mk-MK"/>
        </w:rPr>
        <w:t>Листите и на подобните и на неподобните типови на проекти и сектори презентирани овде се неисцрпни и УНДП го резервира правото да прифати или одбие некој предлог проект што не е наведен овде, проследено со писмено објаснување и оправдување.</w:t>
      </w:r>
    </w:p>
    <w:p w14:paraId="400021A2" w14:textId="77777777" w:rsidR="00436C87" w:rsidRPr="00EE14DB" w:rsidRDefault="00436C87" w:rsidP="00C453E4"/>
    <w:p w14:paraId="60171080" w14:textId="4F75C329" w:rsidR="001B6741" w:rsidRPr="009506CC" w:rsidRDefault="009506CC" w:rsidP="009506CC">
      <w:pPr>
        <w:rPr>
          <w:u w:val="single"/>
        </w:rPr>
      </w:pPr>
      <w:r w:rsidRPr="009506CC">
        <w:rPr>
          <w:u w:val="single"/>
          <w:lang w:val="mk-MK"/>
        </w:rPr>
        <w:t>2.1.4. Подобност на активностите: каков вид документација може да биде финансирана со Повикот?</w:t>
      </w:r>
    </w:p>
    <w:p w14:paraId="248CBD17" w14:textId="185A208E" w:rsidR="00E05FD5" w:rsidRPr="009506CC" w:rsidRDefault="009506CC" w:rsidP="009506CC">
      <w:pPr>
        <w:jc w:val="both"/>
      </w:pPr>
      <w:r w:rsidRPr="009506CC">
        <w:rPr>
          <w:lang w:val="mk-MK"/>
        </w:rPr>
        <w:t>Следниве типови на проектни документи се подобни да добијат финансиска поддршка:</w:t>
      </w:r>
    </w:p>
    <w:p w14:paraId="1FD7AEA3" w14:textId="549F978A" w:rsidR="009506CC" w:rsidRDefault="009506CC" w:rsidP="009506CC">
      <w:pPr>
        <w:pStyle w:val="ListParagraph"/>
        <w:numPr>
          <w:ilvl w:val="0"/>
          <w:numId w:val="10"/>
        </w:numPr>
        <w:jc w:val="both"/>
      </w:pPr>
      <w:r w:rsidRPr="009506CC">
        <w:rPr>
          <w:lang w:val="mk-MK"/>
        </w:rPr>
        <w:t>градежни проекти во сите фази (прелиминарен план, главен план...)</w:t>
      </w:r>
      <w:r w:rsidRPr="009506CC">
        <w:t xml:space="preserve"> </w:t>
      </w:r>
    </w:p>
    <w:p w14:paraId="0222E2D5" w14:textId="09856C91" w:rsidR="009506CC" w:rsidRPr="009506CC" w:rsidRDefault="009506CC" w:rsidP="009506CC">
      <w:pPr>
        <w:pStyle w:val="ListParagraph"/>
        <w:numPr>
          <w:ilvl w:val="0"/>
          <w:numId w:val="10"/>
        </w:numPr>
        <w:jc w:val="both"/>
      </w:pPr>
      <w:r w:rsidRPr="009506CC">
        <w:rPr>
          <w:lang w:val="mk-MK"/>
        </w:rPr>
        <w:t>геодетски, геолошки, геофизички, геомеханички и хидролошки анализи</w:t>
      </w:r>
    </w:p>
    <w:p w14:paraId="33B90482" w14:textId="5EA2AB93" w:rsidR="009506CC" w:rsidRPr="009506CC" w:rsidRDefault="009506CC" w:rsidP="009506CC">
      <w:pPr>
        <w:pStyle w:val="ListParagraph"/>
        <w:numPr>
          <w:ilvl w:val="0"/>
          <w:numId w:val="10"/>
        </w:numPr>
        <w:jc w:val="both"/>
      </w:pPr>
      <w:r w:rsidRPr="009506CC">
        <w:rPr>
          <w:lang w:val="mk-MK"/>
        </w:rPr>
        <w:t>студии за изводливост</w:t>
      </w:r>
    </w:p>
    <w:p w14:paraId="155D0561" w14:textId="219D0963" w:rsidR="009506CC" w:rsidRPr="009506CC" w:rsidRDefault="009506CC" w:rsidP="009506CC">
      <w:pPr>
        <w:pStyle w:val="ListParagraph"/>
        <w:numPr>
          <w:ilvl w:val="0"/>
          <w:numId w:val="10"/>
        </w:numPr>
        <w:jc w:val="both"/>
      </w:pPr>
      <w:r w:rsidRPr="009506CC">
        <w:rPr>
          <w:lang w:val="mk-MK"/>
        </w:rPr>
        <w:t>анализа на трошоци и придобивки</w:t>
      </w:r>
    </w:p>
    <w:p w14:paraId="1121517F" w14:textId="1668F3D0" w:rsidR="009506CC" w:rsidRPr="009506CC" w:rsidRDefault="009506CC" w:rsidP="009506CC">
      <w:pPr>
        <w:pStyle w:val="ListParagraph"/>
        <w:numPr>
          <w:ilvl w:val="0"/>
          <w:numId w:val="10"/>
        </w:numPr>
        <w:jc w:val="both"/>
      </w:pPr>
      <w:r w:rsidRPr="009506CC">
        <w:rPr>
          <w:lang w:val="mk-MK"/>
        </w:rPr>
        <w:t xml:space="preserve">инвестициски студии и бизнис планови (за инфраструктура </w:t>
      </w:r>
      <w:r w:rsidR="00BD5BC5">
        <w:rPr>
          <w:lang w:val="mk-MK"/>
        </w:rPr>
        <w:t>потребна</w:t>
      </w:r>
      <w:r w:rsidRPr="009506CC">
        <w:rPr>
          <w:lang w:val="mk-MK"/>
        </w:rPr>
        <w:t xml:space="preserve"> </w:t>
      </w:r>
      <w:r w:rsidR="00BD5BC5">
        <w:rPr>
          <w:lang w:val="mk-MK"/>
        </w:rPr>
        <w:t>за</w:t>
      </w:r>
      <w:r w:rsidRPr="009506CC">
        <w:rPr>
          <w:lang w:val="mk-MK"/>
        </w:rPr>
        <w:t xml:space="preserve"> бизнис</w:t>
      </w:r>
      <w:r w:rsidR="00BD5BC5">
        <w:rPr>
          <w:lang w:val="mk-MK"/>
        </w:rPr>
        <w:t>от</w:t>
      </w:r>
      <w:r w:rsidRPr="009506CC">
        <w:rPr>
          <w:lang w:val="mk-MK"/>
        </w:rPr>
        <w:t>)</w:t>
      </w:r>
    </w:p>
    <w:p w14:paraId="0CBF4D44" w14:textId="1517FA38" w:rsidR="009506CC" w:rsidRPr="009506CC" w:rsidRDefault="009506CC" w:rsidP="009506CC">
      <w:pPr>
        <w:pStyle w:val="ListParagraph"/>
        <w:numPr>
          <w:ilvl w:val="0"/>
          <w:numId w:val="10"/>
        </w:numPr>
        <w:jc w:val="both"/>
      </w:pPr>
      <w:r w:rsidRPr="009506CC">
        <w:rPr>
          <w:lang w:val="mk-MK"/>
        </w:rPr>
        <w:t>проценка на влијанието по животната средина</w:t>
      </w:r>
    </w:p>
    <w:p w14:paraId="4BACFFC5" w14:textId="53E6E58C" w:rsidR="009506CC" w:rsidRPr="009506CC" w:rsidRDefault="009506CC" w:rsidP="009506CC">
      <w:pPr>
        <w:pStyle w:val="ListParagraph"/>
        <w:numPr>
          <w:ilvl w:val="0"/>
          <w:numId w:val="10"/>
        </w:numPr>
        <w:jc w:val="both"/>
      </w:pPr>
      <w:r w:rsidRPr="009506CC">
        <w:rPr>
          <w:lang w:val="mk-MK"/>
        </w:rPr>
        <w:t>поединечни делови од градежни проекти (електрична енергија, проверка на статиката, водовод и канализација, греење/ладење, итн. ...) – само ако е потребно да се комплетира постојната документација.</w:t>
      </w:r>
    </w:p>
    <w:p w14:paraId="3DCBAE84" w14:textId="77777777" w:rsidR="002414BC" w:rsidRPr="00EE14DB" w:rsidRDefault="002414BC" w:rsidP="002414BC"/>
    <w:p w14:paraId="49F2DBB0" w14:textId="310D5B38" w:rsidR="00E05FD5" w:rsidRPr="003D0A08" w:rsidRDefault="00903E70" w:rsidP="009506CC">
      <w:pPr>
        <w:rPr>
          <w:lang w:val="mk-MK"/>
        </w:rPr>
      </w:pPr>
      <w:r>
        <w:rPr>
          <w:lang w:val="mk-MK"/>
        </w:rPr>
        <w:t>Незадолжително</w:t>
      </w:r>
      <w:r w:rsidR="009506CC" w:rsidRPr="009506CC">
        <w:rPr>
          <w:lang w:val="mk-MK"/>
        </w:rPr>
        <w:t>, следниве типови на документи можат да се сметаат за подобни:</w:t>
      </w:r>
    </w:p>
    <w:p w14:paraId="1046D685" w14:textId="3BD6E12A" w:rsidR="009506CC" w:rsidRPr="009506CC" w:rsidRDefault="009506CC" w:rsidP="009506CC">
      <w:pPr>
        <w:pStyle w:val="ListParagraph"/>
        <w:numPr>
          <w:ilvl w:val="0"/>
          <w:numId w:val="11"/>
        </w:numPr>
        <w:jc w:val="both"/>
      </w:pPr>
      <w:r w:rsidRPr="009506CC">
        <w:rPr>
          <w:lang w:val="mk-MK"/>
        </w:rPr>
        <w:lastRenderedPageBreak/>
        <w:t xml:space="preserve">детални урбанистички планови (планови коишто се применуваат за еден или повеќе урбанистички блокови потребни за да се дозволат гринфилд и браунфилд инвестиции, изградба на јавни објекти и др.), во случаи кога оваа одлука била донесена преку јавни консултации – во најмала рака преку форуми </w:t>
      </w:r>
      <w:r w:rsidR="00665D69">
        <w:rPr>
          <w:lang w:val="mk-MK"/>
        </w:rPr>
        <w:t>во</w:t>
      </w:r>
      <w:r w:rsidRPr="009506CC">
        <w:rPr>
          <w:lang w:val="mk-MK"/>
        </w:rPr>
        <w:t xml:space="preserve"> заедницата или регионални форуми;</w:t>
      </w:r>
    </w:p>
    <w:p w14:paraId="0C5E50D3" w14:textId="34740125" w:rsidR="009506CC" w:rsidRPr="009506CC" w:rsidRDefault="009506CC" w:rsidP="009506CC">
      <w:pPr>
        <w:pStyle w:val="ListParagraph"/>
        <w:numPr>
          <w:ilvl w:val="0"/>
          <w:numId w:val="11"/>
        </w:numPr>
        <w:jc w:val="both"/>
      </w:pPr>
      <w:r w:rsidRPr="009506CC">
        <w:rPr>
          <w:lang w:val="mk-MK"/>
        </w:rPr>
        <w:t>ревизија на постојните пакети на проектна документација;</w:t>
      </w:r>
    </w:p>
    <w:p w14:paraId="63BE5776" w14:textId="615CBD1C" w:rsidR="009506CC" w:rsidRPr="009506CC" w:rsidRDefault="009506CC" w:rsidP="009506CC">
      <w:pPr>
        <w:pStyle w:val="ListParagraph"/>
        <w:numPr>
          <w:ilvl w:val="0"/>
          <w:numId w:val="11"/>
        </w:numPr>
        <w:jc w:val="both"/>
      </w:pPr>
      <w:r w:rsidRPr="009506CC">
        <w:rPr>
          <w:lang w:val="mk-MK"/>
        </w:rPr>
        <w:t xml:space="preserve">целосен пакет на документи за пријавување за други фондови – формулари за пријавување, буџети, технички спецификации, предмери, и сл.; </w:t>
      </w:r>
    </w:p>
    <w:p w14:paraId="6BE378CB" w14:textId="3DCFBEC1" w:rsidR="009506CC" w:rsidRPr="009506CC" w:rsidRDefault="009506CC" w:rsidP="009506CC">
      <w:pPr>
        <w:pStyle w:val="ListParagraph"/>
        <w:numPr>
          <w:ilvl w:val="0"/>
          <w:numId w:val="11"/>
        </w:numPr>
        <w:jc w:val="both"/>
      </w:pPr>
      <w:bookmarkStart w:id="4" w:name="_Hlk19869745"/>
      <w:r w:rsidRPr="009506CC">
        <w:rPr>
          <w:lang w:val="mk-MK"/>
        </w:rPr>
        <w:t>технички спецификации за сложена опрема (на пример опрема за управување со отпад)</w:t>
      </w:r>
    </w:p>
    <w:p w14:paraId="68DEBB0E" w14:textId="65D5B4F3" w:rsidR="009506CC" w:rsidRPr="009506CC" w:rsidRDefault="009506CC" w:rsidP="009506CC">
      <w:pPr>
        <w:pStyle w:val="ListParagraph"/>
        <w:numPr>
          <w:ilvl w:val="0"/>
          <w:numId w:val="11"/>
        </w:numPr>
        <w:jc w:val="both"/>
      </w:pPr>
      <w:r w:rsidRPr="009506CC">
        <w:rPr>
          <w:lang w:val="mk-MK"/>
        </w:rPr>
        <w:t>техничко-технолошки студии, итн.</w:t>
      </w:r>
    </w:p>
    <w:bookmarkEnd w:id="4"/>
    <w:p w14:paraId="032865CE" w14:textId="77777777" w:rsidR="002414BC" w:rsidRPr="00EE14DB" w:rsidRDefault="002414BC" w:rsidP="00093A3C">
      <w:pPr>
        <w:jc w:val="both"/>
        <w:rPr>
          <w:u w:val="single"/>
        </w:rPr>
      </w:pPr>
    </w:p>
    <w:p w14:paraId="3FD6445C" w14:textId="5AC982D1" w:rsidR="009A2D76" w:rsidRPr="009506CC" w:rsidRDefault="009506CC" w:rsidP="009506CC">
      <w:pPr>
        <w:jc w:val="both"/>
      </w:pPr>
      <w:r w:rsidRPr="009506CC">
        <w:rPr>
          <w:lang w:val="mk-MK"/>
        </w:rPr>
        <w:t>Листите и на подобните и на неподобните типови проектни документи презентирани овде се неисцрпни, и УНДП го задржува правото да прифати или одбие некоја пријава за проектна документација што не е наведена овде, проследено со писмено објаснување и оправдување.</w:t>
      </w:r>
    </w:p>
    <w:p w14:paraId="1A0963EE" w14:textId="77777777" w:rsidR="009A2D76" w:rsidRPr="00EE14DB" w:rsidRDefault="009A2D76" w:rsidP="001B6741">
      <w:pPr>
        <w:rPr>
          <w:u w:val="single"/>
        </w:rPr>
      </w:pPr>
    </w:p>
    <w:p w14:paraId="754B5828" w14:textId="1572537E" w:rsidR="009A2D76" w:rsidRPr="009506CC" w:rsidRDefault="009506CC" w:rsidP="009506CC">
      <w:pPr>
        <w:rPr>
          <w:u w:val="single"/>
        </w:rPr>
      </w:pPr>
      <w:r w:rsidRPr="009506CC">
        <w:rPr>
          <w:u w:val="single"/>
          <w:lang w:val="mk-MK"/>
        </w:rPr>
        <w:t>2.1.5. Прифатливи трошоци</w:t>
      </w:r>
    </w:p>
    <w:p w14:paraId="209336B0" w14:textId="229C1237" w:rsidR="00D70B7C" w:rsidRPr="00EE14DB" w:rsidRDefault="009506CC" w:rsidP="00CB678F">
      <w:r w:rsidRPr="009506CC">
        <w:rPr>
          <w:lang w:val="mk-MK"/>
        </w:rPr>
        <w:t>Прифатливи трошоци согласно овој Повик за предлози се сите услуги што ги дава трета страна, а коишто се потребни за изработка на потребната техничка документација.</w:t>
      </w:r>
      <w:r w:rsidR="00233D05" w:rsidRPr="009506CC">
        <w:t xml:space="preserve"> </w:t>
      </w:r>
    </w:p>
    <w:p w14:paraId="468B5856" w14:textId="77777777" w:rsidR="000641BA" w:rsidRDefault="000641BA" w:rsidP="009506CC">
      <w:pPr>
        <w:rPr>
          <w:lang w:val="mk-MK"/>
        </w:rPr>
      </w:pPr>
    </w:p>
    <w:p w14:paraId="4AA5BCE0" w14:textId="3A2C0A13" w:rsidR="00233D05" w:rsidRPr="009506CC" w:rsidRDefault="009506CC" w:rsidP="009506CC">
      <w:r w:rsidRPr="009506CC">
        <w:rPr>
          <w:lang w:val="mk-MK"/>
        </w:rPr>
        <w:t>Трошоци што не се прифаќаат:</w:t>
      </w:r>
    </w:p>
    <w:p w14:paraId="1014A731" w14:textId="641CE91A" w:rsidR="009506CC" w:rsidRPr="009506CC" w:rsidRDefault="009506CC" w:rsidP="00CB678F">
      <w:pPr>
        <w:pStyle w:val="ListParagraph"/>
        <w:numPr>
          <w:ilvl w:val="0"/>
          <w:numId w:val="12"/>
        </w:numPr>
        <w:jc w:val="both"/>
      </w:pPr>
      <w:r w:rsidRPr="009506CC">
        <w:rPr>
          <w:lang w:val="mk-MK"/>
        </w:rPr>
        <w:t>Хонорари за раководење и други хонорари за општинскиот персонал и/или персоналот на Регионалните центри;</w:t>
      </w:r>
    </w:p>
    <w:p w14:paraId="151D3492" w14:textId="4427719F" w:rsidR="009506CC" w:rsidRPr="009506CC" w:rsidRDefault="009506CC" w:rsidP="009506CC">
      <w:pPr>
        <w:pStyle w:val="ListParagraph"/>
        <w:numPr>
          <w:ilvl w:val="0"/>
          <w:numId w:val="12"/>
        </w:numPr>
      </w:pPr>
      <w:r w:rsidRPr="009506CC">
        <w:rPr>
          <w:lang w:val="mk-MK"/>
        </w:rPr>
        <w:t>Дневници или патни трошоци;</w:t>
      </w:r>
    </w:p>
    <w:p w14:paraId="1CD80A98" w14:textId="383EBF2C" w:rsidR="009506CC" w:rsidRPr="009506CC" w:rsidRDefault="009506CC" w:rsidP="009506CC">
      <w:pPr>
        <w:pStyle w:val="ListParagraph"/>
        <w:numPr>
          <w:ilvl w:val="0"/>
          <w:numId w:val="12"/>
        </w:numPr>
      </w:pPr>
      <w:r w:rsidRPr="009506CC">
        <w:rPr>
          <w:lang w:val="mk-MK"/>
        </w:rPr>
        <w:t>Трошоци за опрема потребна за мерење, анализа, и сл.</w:t>
      </w:r>
    </w:p>
    <w:p w14:paraId="045C83B2" w14:textId="77777777" w:rsidR="009A2D76" w:rsidRPr="00EE14DB" w:rsidRDefault="009A2D76" w:rsidP="001B6741">
      <w:pPr>
        <w:rPr>
          <w:u w:val="single"/>
        </w:rPr>
      </w:pPr>
    </w:p>
    <w:p w14:paraId="6C3508D2" w14:textId="5A38CFBA" w:rsidR="001B6741" w:rsidRPr="009506CC" w:rsidRDefault="009506CC" w:rsidP="009506CC">
      <w:pPr>
        <w:rPr>
          <w:u w:val="single"/>
        </w:rPr>
      </w:pPr>
      <w:r w:rsidRPr="009506CC">
        <w:rPr>
          <w:u w:val="single"/>
          <w:lang w:val="mk-MK"/>
        </w:rPr>
        <w:t>2.1.6. Кофинансирање од барателите</w:t>
      </w:r>
    </w:p>
    <w:p w14:paraId="26A5CA7D" w14:textId="5085FD1E" w:rsidR="00233D05" w:rsidRPr="00EE14DB" w:rsidRDefault="009506CC" w:rsidP="009506CC">
      <w:pPr>
        <w:jc w:val="both"/>
      </w:pPr>
      <w:r w:rsidRPr="009506CC">
        <w:rPr>
          <w:lang w:val="mk-MK"/>
        </w:rPr>
        <w:t>Во случаи кога конечно утврдениот износ за договорот ги надминува границите утврдени во точка 1.4. горе, од барателот ќе се бара да обезбеди кофинансирање до крајниот износ од сопствени или други извори.</w:t>
      </w:r>
      <w:r w:rsidR="00E17194" w:rsidRPr="009506CC">
        <w:t xml:space="preserve"> </w:t>
      </w:r>
    </w:p>
    <w:p w14:paraId="4155DEE6" w14:textId="6D31EDEE" w:rsidR="00E17194" w:rsidRPr="009506CC" w:rsidRDefault="009506CC" w:rsidP="009506CC">
      <w:pPr>
        <w:jc w:val="both"/>
      </w:pPr>
      <w:r w:rsidRPr="009506CC">
        <w:rPr>
          <w:lang w:val="mk-MK"/>
        </w:rPr>
        <w:t>УНДП ќе управува со набавката на услуги и ќе бидат одговорни за спроведување на договорите со трети страни, на пр. исплата на испорачателите на услуги.</w:t>
      </w:r>
      <w:r w:rsidR="0085310F" w:rsidRPr="009506CC">
        <w:t xml:space="preserve"> </w:t>
      </w:r>
      <w:r w:rsidRPr="009506CC">
        <w:rPr>
          <w:lang w:val="mk-MK"/>
        </w:rPr>
        <w:t>Од овие причини, од барателите ќе се бара да потпишат договор за споделување трошоци и да ги префрлат потребните средства на УНДП согласно стандардните процедури на УНДП и распоредот утврден со договорот.</w:t>
      </w:r>
    </w:p>
    <w:p w14:paraId="1654EDF5" w14:textId="77777777" w:rsidR="00233D05" w:rsidRPr="00EE14DB" w:rsidRDefault="00233D05" w:rsidP="001B6741">
      <w:pPr>
        <w:rPr>
          <w:u w:val="single"/>
        </w:rPr>
      </w:pPr>
    </w:p>
    <w:p w14:paraId="53397FA8" w14:textId="2F81BEDF" w:rsidR="001B6741" w:rsidRPr="009506CC" w:rsidRDefault="009506CC" w:rsidP="009506CC">
      <w:pPr>
        <w:rPr>
          <w:u w:val="single"/>
        </w:rPr>
      </w:pPr>
      <w:r w:rsidRPr="009506CC">
        <w:rPr>
          <w:u w:val="single"/>
          <w:lang w:val="mk-MK"/>
        </w:rPr>
        <w:t>2.1.7. Други предуслови</w:t>
      </w:r>
    </w:p>
    <w:p w14:paraId="5F31EAA9" w14:textId="421D0E7F" w:rsidR="00BE0E2D" w:rsidRPr="009506CC" w:rsidRDefault="009506CC" w:rsidP="00CB678F">
      <w:pPr>
        <w:pStyle w:val="BodyText"/>
      </w:pPr>
      <w:r w:rsidRPr="009506CC">
        <w:t>За да се обезбедат точни податоци за евалуација на барањата, општините коишто сè уште ги немаат поднесено сите барани податоци за пресметка на Индексот на развиеност на општините</w:t>
      </w:r>
      <w:r w:rsidR="00AA6EF1">
        <w:t>,</w:t>
      </w:r>
      <w:r w:rsidRPr="009506CC">
        <w:t xml:space="preserve"> ќе треба тоа да го направ</w:t>
      </w:r>
      <w:r w:rsidR="00AA6EF1">
        <w:t>ат</w:t>
      </w:r>
      <w:r w:rsidRPr="009506CC">
        <w:t xml:space="preserve"> заедно со остатокот од документите за пријавување.</w:t>
      </w:r>
    </w:p>
    <w:p w14:paraId="55098761" w14:textId="2446160E" w:rsidR="0044635D" w:rsidRDefault="0044635D" w:rsidP="00C453E4"/>
    <w:p w14:paraId="2FC8DAF9" w14:textId="77777777" w:rsidR="003D0A08" w:rsidRPr="00EE14DB" w:rsidRDefault="003D0A08" w:rsidP="00C453E4"/>
    <w:p w14:paraId="699B786A" w14:textId="560E4A73" w:rsidR="0044635D" w:rsidRPr="00EE14DB" w:rsidRDefault="009506CC" w:rsidP="009506CC">
      <w:pPr>
        <w:rPr>
          <w:b/>
        </w:rPr>
      </w:pPr>
      <w:r w:rsidRPr="009506CC">
        <w:rPr>
          <w:b/>
          <w:lang w:val="mk-MK"/>
        </w:rPr>
        <w:t xml:space="preserve">2.2. Процедура и содржина на </w:t>
      </w:r>
      <w:r w:rsidR="00D06B07">
        <w:rPr>
          <w:b/>
          <w:lang w:val="mk-MK"/>
        </w:rPr>
        <w:t>пријавата</w:t>
      </w:r>
      <w:r w:rsidRPr="009506CC">
        <w:rPr>
          <w:b/>
          <w:lang w:val="mk-MK"/>
        </w:rPr>
        <w:t xml:space="preserve"> </w:t>
      </w:r>
      <w:r w:rsidR="0044635D" w:rsidRPr="009506CC">
        <w:rPr>
          <w:b/>
        </w:rPr>
        <w:tab/>
      </w:r>
    </w:p>
    <w:p w14:paraId="0C677518" w14:textId="77777777" w:rsidR="0044635D" w:rsidRPr="00EE14DB" w:rsidRDefault="0044635D" w:rsidP="0044635D">
      <w:pPr>
        <w:rPr>
          <w:u w:val="single"/>
        </w:rPr>
      </w:pPr>
    </w:p>
    <w:p w14:paraId="7803D37C" w14:textId="5FF67376" w:rsidR="0044635D" w:rsidRPr="009506CC" w:rsidRDefault="009506CC" w:rsidP="009506CC">
      <w:pPr>
        <w:rPr>
          <w:u w:val="single"/>
        </w:rPr>
      </w:pPr>
      <w:r w:rsidRPr="009506CC">
        <w:rPr>
          <w:u w:val="single"/>
          <w:lang w:val="mk-MK"/>
        </w:rPr>
        <w:t xml:space="preserve">2.2.1. Содржина на </w:t>
      </w:r>
      <w:r w:rsidR="00D06B07">
        <w:rPr>
          <w:u w:val="single"/>
          <w:lang w:val="mk-MK"/>
        </w:rPr>
        <w:t>пријавата</w:t>
      </w:r>
    </w:p>
    <w:p w14:paraId="20B75219" w14:textId="2C5C5046" w:rsidR="00BE0E2D" w:rsidRPr="006E2D30" w:rsidRDefault="006E2D30" w:rsidP="006E2D30">
      <w:r w:rsidRPr="006E2D30">
        <w:rPr>
          <w:lang w:val="mk-MK"/>
        </w:rPr>
        <w:lastRenderedPageBreak/>
        <w:t xml:space="preserve">Задолжителниот „пакет“ </w:t>
      </w:r>
      <w:r w:rsidR="00AA6EF1">
        <w:rPr>
          <w:lang w:val="mk-MK"/>
        </w:rPr>
        <w:t>за пријавување</w:t>
      </w:r>
      <w:r w:rsidRPr="006E2D30">
        <w:rPr>
          <w:lang w:val="mk-MK"/>
        </w:rPr>
        <w:t xml:space="preserve"> се состои од: </w:t>
      </w:r>
    </w:p>
    <w:p w14:paraId="0E79E0C2" w14:textId="1D736321" w:rsidR="006E2D30" w:rsidRPr="006E2D30" w:rsidRDefault="006E2D30" w:rsidP="006E2D30">
      <w:pPr>
        <w:pStyle w:val="ListParagraph"/>
        <w:numPr>
          <w:ilvl w:val="0"/>
          <w:numId w:val="14"/>
        </w:numPr>
      </w:pPr>
      <w:r w:rsidRPr="006E2D30">
        <w:rPr>
          <w:lang w:val="mk-MK"/>
        </w:rPr>
        <w:t xml:space="preserve">Формулар за </w:t>
      </w:r>
      <w:r w:rsidR="00D06B07">
        <w:rPr>
          <w:lang w:val="mk-MK"/>
        </w:rPr>
        <w:t>пријавување</w:t>
      </w:r>
      <w:r w:rsidRPr="006E2D30">
        <w:rPr>
          <w:lang w:val="mk-MK"/>
        </w:rPr>
        <w:t xml:space="preserve"> (со потпис и печат)</w:t>
      </w:r>
    </w:p>
    <w:p w14:paraId="2368875D" w14:textId="668BC873" w:rsidR="006E2D30" w:rsidRPr="006E2D30" w:rsidRDefault="006E2D30" w:rsidP="00CB678F">
      <w:pPr>
        <w:pStyle w:val="ListParagraph"/>
        <w:numPr>
          <w:ilvl w:val="0"/>
          <w:numId w:val="14"/>
        </w:numPr>
        <w:jc w:val="both"/>
      </w:pPr>
      <w:r w:rsidRPr="006E2D30">
        <w:rPr>
          <w:lang w:val="mk-MK"/>
        </w:rPr>
        <w:t xml:space="preserve">Пропратни документи: студии, извештаи, одлуки – само ако на нив се упатува во Формуларот </w:t>
      </w:r>
      <w:r w:rsidR="00D06B07" w:rsidRPr="006E2D30">
        <w:rPr>
          <w:lang w:val="mk-MK"/>
        </w:rPr>
        <w:t xml:space="preserve">за </w:t>
      </w:r>
      <w:r w:rsidR="00D06B07">
        <w:rPr>
          <w:lang w:val="mk-MK"/>
        </w:rPr>
        <w:t>пријавување</w:t>
      </w:r>
    </w:p>
    <w:p w14:paraId="35B438D7" w14:textId="77777777" w:rsidR="00BE0E2D" w:rsidRPr="00EE14DB" w:rsidRDefault="00BE0E2D" w:rsidP="0044635D">
      <w:pPr>
        <w:rPr>
          <w:u w:val="single"/>
        </w:rPr>
      </w:pPr>
    </w:p>
    <w:p w14:paraId="5DF56DD7" w14:textId="00B24CFC" w:rsidR="004F733A" w:rsidRPr="00EE14DB" w:rsidRDefault="006E2D30" w:rsidP="00CB678F">
      <w:pPr>
        <w:jc w:val="both"/>
      </w:pPr>
      <w:r w:rsidRPr="006E2D30">
        <w:rPr>
          <w:lang w:val="mk-MK"/>
        </w:rPr>
        <w:t xml:space="preserve">Формуларот за </w:t>
      </w:r>
      <w:r w:rsidR="00D06B07">
        <w:rPr>
          <w:lang w:val="mk-MK"/>
        </w:rPr>
        <w:t>пријавување</w:t>
      </w:r>
      <w:r w:rsidR="00D06B07" w:rsidRPr="006E2D30">
        <w:rPr>
          <w:lang w:val="mk-MK"/>
        </w:rPr>
        <w:t xml:space="preserve"> </w:t>
      </w:r>
      <w:r w:rsidRPr="006E2D30">
        <w:rPr>
          <w:lang w:val="mk-MK"/>
        </w:rPr>
        <w:t>не може на никаков начин да се смени, освен со додавање (копирање) дополнителни табели за „Основните информации за барателот“, во случаи на партнерски барања.</w:t>
      </w:r>
      <w:r w:rsidR="00392EE2" w:rsidRPr="006E2D30">
        <w:t xml:space="preserve"> </w:t>
      </w:r>
    </w:p>
    <w:p w14:paraId="2B83B3DD" w14:textId="77777777" w:rsidR="004F733A" w:rsidRPr="00EE14DB" w:rsidRDefault="004F733A" w:rsidP="0044635D"/>
    <w:p w14:paraId="7697E831" w14:textId="388E7425" w:rsidR="004F733A" w:rsidRPr="006E2D30" w:rsidRDefault="006E2D30" w:rsidP="006E2D30">
      <w:pPr>
        <w:rPr>
          <w:u w:val="single"/>
        </w:rPr>
      </w:pPr>
      <w:r w:rsidRPr="006E2D30">
        <w:rPr>
          <w:u w:val="single"/>
          <w:lang w:val="mk-MK"/>
        </w:rPr>
        <w:t xml:space="preserve">2.2.2. Каде и како </w:t>
      </w:r>
      <w:r w:rsidR="00D06B07">
        <w:rPr>
          <w:u w:val="single"/>
          <w:lang w:val="mk-MK"/>
        </w:rPr>
        <w:t>да се пријавите</w:t>
      </w:r>
      <w:r w:rsidRPr="006E2D30">
        <w:rPr>
          <w:u w:val="single"/>
          <w:lang w:val="mk-MK"/>
        </w:rPr>
        <w:t>?</w:t>
      </w:r>
    </w:p>
    <w:p w14:paraId="7366488F" w14:textId="7F2360B0" w:rsidR="004F733A" w:rsidRPr="0099725C" w:rsidRDefault="006E2D30" w:rsidP="00CB678F">
      <w:pPr>
        <w:jc w:val="both"/>
        <w:rPr>
          <w:u w:val="single"/>
        </w:rPr>
      </w:pPr>
      <w:r w:rsidRPr="006E2D30">
        <w:rPr>
          <w:lang w:val="mk-MK"/>
        </w:rPr>
        <w:t xml:space="preserve">Формуларот за пријавување во електронски формат </w:t>
      </w:r>
      <w:r w:rsidR="00AA6EF1">
        <w:rPr>
          <w:lang w:val="mk-MK"/>
        </w:rPr>
        <w:t>мора</w:t>
      </w:r>
      <w:r w:rsidRPr="006E2D30">
        <w:rPr>
          <w:lang w:val="mk-MK"/>
        </w:rPr>
        <w:t xml:space="preserve"> да се испрати </w:t>
      </w:r>
      <w:r w:rsidR="000F154A" w:rsidRPr="000F154A">
        <w:rPr>
          <w:b/>
          <w:bCs/>
          <w:lang w:val="mk-MK"/>
        </w:rPr>
        <w:t xml:space="preserve">само </w:t>
      </w:r>
      <w:r w:rsidRPr="006E2D30">
        <w:rPr>
          <w:b/>
          <w:lang w:val="mk-MK"/>
        </w:rPr>
        <w:t xml:space="preserve">по електронска пошта </w:t>
      </w:r>
      <w:r w:rsidRPr="006E2D30">
        <w:rPr>
          <w:lang w:val="mk-MK"/>
        </w:rPr>
        <w:t xml:space="preserve">на </w:t>
      </w:r>
      <w:hyperlink r:id="rId13" w:history="1">
        <w:r w:rsidRPr="006E2D30">
          <w:rPr>
            <w:rStyle w:val="Hyperlink"/>
            <w:b/>
            <w:lang w:val="mk-MK"/>
          </w:rPr>
          <w:t>info@lokalenrazvoj.mk</w:t>
        </w:r>
      </w:hyperlink>
      <w:r w:rsidR="00AA6EF1">
        <w:rPr>
          <w:lang w:val="mk-MK"/>
        </w:rPr>
        <w:t xml:space="preserve"> и в</w:t>
      </w:r>
      <w:r w:rsidRPr="006E2D30">
        <w:rPr>
          <w:lang w:val="mk-MK"/>
        </w:rPr>
        <w:t xml:space="preserve">о предмет да стои </w:t>
      </w:r>
      <w:r w:rsidRPr="006E2D30">
        <w:rPr>
          <w:b/>
          <w:bCs/>
          <w:lang w:val="mk-MK"/>
        </w:rPr>
        <w:t>ОПШТИНА [име на општината] или РЕГИОНАЛЕН ЦЕНТАР [ИМЕ] – ПРИЈАВА ЗА ФОНДОТ ЗА ТЕХНИЧКА ДОКУМЕНТАЦИЈА-ВТОР ПОВИК</w:t>
      </w:r>
      <w:r w:rsidRPr="006E2D30">
        <w:rPr>
          <w:lang w:val="mk-MK"/>
        </w:rPr>
        <w:t>;</w:t>
      </w:r>
      <w:r w:rsidR="007A31C7" w:rsidRPr="006E2D30">
        <w:t xml:space="preserve"> </w:t>
      </w:r>
    </w:p>
    <w:p w14:paraId="59831D3E" w14:textId="77777777" w:rsidR="00D06B07" w:rsidRDefault="00D06B07" w:rsidP="006E2D30">
      <w:pPr>
        <w:rPr>
          <w:u w:val="single"/>
          <w:lang w:val="mk-MK"/>
        </w:rPr>
      </w:pPr>
    </w:p>
    <w:p w14:paraId="35FA896A" w14:textId="165CB6CB" w:rsidR="0044635D" w:rsidRDefault="006E2D30" w:rsidP="006E2D30">
      <w:pPr>
        <w:rPr>
          <w:u w:val="single"/>
          <w:lang w:val="mk-MK"/>
        </w:rPr>
      </w:pPr>
      <w:r w:rsidRPr="006E2D30">
        <w:rPr>
          <w:u w:val="single"/>
          <w:lang w:val="mk-MK"/>
        </w:rPr>
        <w:t xml:space="preserve">2.2.3 Рок на </w:t>
      </w:r>
      <w:r w:rsidR="00D06B07" w:rsidRPr="00D06B07">
        <w:rPr>
          <w:u w:val="single"/>
          <w:lang w:val="mk-MK"/>
        </w:rPr>
        <w:t>пријавување</w:t>
      </w:r>
    </w:p>
    <w:p w14:paraId="7DDD4084" w14:textId="77777777" w:rsidR="00E87478" w:rsidRPr="006E2D30" w:rsidRDefault="00E87478" w:rsidP="006E2D30">
      <w:pPr>
        <w:rPr>
          <w:u w:val="single"/>
        </w:rPr>
      </w:pPr>
    </w:p>
    <w:p w14:paraId="389F67FE" w14:textId="50409552" w:rsidR="006E2D30" w:rsidRPr="006E2D30" w:rsidRDefault="00381887" w:rsidP="006E2D30">
      <w:pPr>
        <w:pStyle w:val="ListParagraph"/>
        <w:numPr>
          <w:ilvl w:val="0"/>
          <w:numId w:val="15"/>
        </w:numPr>
        <w:rPr>
          <w:b/>
          <w:color w:val="FF0000"/>
        </w:rPr>
      </w:pPr>
      <w:r>
        <w:rPr>
          <w:b/>
          <w:color w:val="FF0000"/>
        </w:rPr>
        <w:t>31</w:t>
      </w:r>
      <w:r w:rsidR="00E87478">
        <w:rPr>
          <w:b/>
          <w:color w:val="FF0000"/>
          <w:lang w:val="mk-MK"/>
        </w:rPr>
        <w:t xml:space="preserve"> јули </w:t>
      </w:r>
      <w:r w:rsidR="006E2D30" w:rsidRPr="006E2D30">
        <w:rPr>
          <w:b/>
          <w:color w:val="FF0000"/>
          <w:lang w:val="mk-MK"/>
        </w:rPr>
        <w:t>2020</w:t>
      </w:r>
      <w:r w:rsidR="00E87478">
        <w:rPr>
          <w:b/>
          <w:color w:val="FF0000"/>
          <w:lang w:val="mk-MK"/>
        </w:rPr>
        <w:t xml:space="preserve"> г</w:t>
      </w:r>
      <w:r w:rsidR="000F154A">
        <w:rPr>
          <w:b/>
          <w:color w:val="FF0000"/>
          <w:lang w:val="mk-MK"/>
        </w:rPr>
        <w:t>одина</w:t>
      </w:r>
      <w:r w:rsidR="004F1F42">
        <w:rPr>
          <w:b/>
          <w:color w:val="FF0000"/>
          <w:lang w:val="mk-MK"/>
        </w:rPr>
        <w:t>,</w:t>
      </w:r>
      <w:r w:rsidR="000F154A">
        <w:rPr>
          <w:b/>
          <w:color w:val="FF0000"/>
          <w:lang w:val="mk-MK"/>
        </w:rPr>
        <w:t xml:space="preserve"> до 22.00ч</w:t>
      </w:r>
    </w:p>
    <w:p w14:paraId="7D1EC9C7" w14:textId="77777777" w:rsidR="004F733A" w:rsidRPr="00EE14DB" w:rsidRDefault="004F733A" w:rsidP="0044635D">
      <w:pPr>
        <w:rPr>
          <w:u w:val="single"/>
        </w:rPr>
      </w:pPr>
    </w:p>
    <w:p w14:paraId="212FE103" w14:textId="3F9F3F11" w:rsidR="00392EE2" w:rsidRPr="006E2D30" w:rsidRDefault="006E2D30" w:rsidP="006E2D30">
      <w:pPr>
        <w:rPr>
          <w:u w:val="single"/>
        </w:rPr>
      </w:pPr>
      <w:r w:rsidRPr="006E2D30">
        <w:rPr>
          <w:u w:val="single"/>
          <w:lang w:val="mk-MK"/>
        </w:rPr>
        <w:t>2.2.4. Дополнителни информации</w:t>
      </w:r>
    </w:p>
    <w:p w14:paraId="6D8D469C" w14:textId="3097179E" w:rsidR="004F733A" w:rsidRPr="00361BBD" w:rsidRDefault="006E2D30" w:rsidP="00361BBD">
      <w:pPr>
        <w:jc w:val="both"/>
      </w:pPr>
      <w:r w:rsidRPr="006E2D30">
        <w:rPr>
          <w:lang w:val="mk-MK"/>
        </w:rPr>
        <w:t xml:space="preserve">Додека е во тек Повикот за </w:t>
      </w:r>
      <w:r w:rsidR="00AA6EF1">
        <w:rPr>
          <w:lang w:val="mk-MK"/>
        </w:rPr>
        <w:t>пријавување</w:t>
      </w:r>
      <w:r w:rsidRPr="006E2D30">
        <w:rPr>
          <w:lang w:val="mk-MK"/>
        </w:rPr>
        <w:t>, потенцијалните баратели ќе имаат можност да постават прашања и да побараат појаснувања во врска со Повикот.</w:t>
      </w:r>
      <w:r w:rsidR="004A704B" w:rsidRPr="006E2D30">
        <w:t xml:space="preserve"> </w:t>
      </w:r>
      <w:r w:rsidRPr="00361BBD">
        <w:rPr>
          <w:lang w:val="mk-MK"/>
        </w:rPr>
        <w:t>Прашањата треба да бидат упатени по електронска пошта на следнава адреса:</w:t>
      </w:r>
      <w:r w:rsidR="00361BBD" w:rsidRPr="00361BBD">
        <w:rPr>
          <w:lang w:val="mk-MK"/>
        </w:rPr>
        <w:t xml:space="preserve"> </w:t>
      </w:r>
      <w:hyperlink r:id="rId14" w:history="1">
        <w:r w:rsidR="00DD7032" w:rsidRPr="001C54EA">
          <w:rPr>
            <w:rStyle w:val="Hyperlink"/>
            <w:lang w:val="mk-MK"/>
          </w:rPr>
          <w:t>info@lokalenrazvoj.mk</w:t>
        </w:r>
      </w:hyperlink>
      <w:r w:rsidR="00DD7032">
        <w:rPr>
          <w:lang w:val="mk-MK"/>
        </w:rPr>
        <w:t xml:space="preserve"> .</w:t>
      </w:r>
    </w:p>
    <w:p w14:paraId="795B2479" w14:textId="77777777" w:rsidR="004C4ABB" w:rsidRPr="00EE14DB" w:rsidRDefault="004C4ABB" w:rsidP="00536425">
      <w:pPr>
        <w:jc w:val="both"/>
        <w:rPr>
          <w:rFonts w:cstheme="minorHAnsi"/>
        </w:rPr>
      </w:pPr>
    </w:p>
    <w:p w14:paraId="5FDACEA6" w14:textId="2F107CAA" w:rsidR="004A704B" w:rsidRDefault="00361BBD" w:rsidP="00361BBD">
      <w:pPr>
        <w:jc w:val="both"/>
        <w:rPr>
          <w:rFonts w:cstheme="minorHAnsi"/>
          <w:lang w:val="mk-MK"/>
        </w:rPr>
      </w:pPr>
      <w:r w:rsidRPr="00361BBD">
        <w:rPr>
          <w:rFonts w:cstheme="minorHAnsi"/>
          <w:lang w:val="mk-MK"/>
        </w:rPr>
        <w:t xml:space="preserve">На прашањата ќе се одговара редовно на веб страницата од проектот еднаш неделно за времетраењето на Повикот, </w:t>
      </w:r>
      <w:r w:rsidR="00AA6EF1">
        <w:rPr>
          <w:rFonts w:cstheme="minorHAnsi"/>
          <w:lang w:val="mk-MK"/>
        </w:rPr>
        <w:t>при</w:t>
      </w:r>
      <w:r w:rsidRPr="00361BBD">
        <w:rPr>
          <w:rFonts w:cstheme="minorHAnsi"/>
          <w:lang w:val="mk-MK"/>
        </w:rPr>
        <w:t xml:space="preserve"> што и прашањата и одговорите ќе бидат видливи за сите потенцијални баратели.</w:t>
      </w:r>
      <w:r w:rsidR="003102B9" w:rsidRPr="00361BBD">
        <w:rPr>
          <w:rFonts w:cstheme="minorHAnsi"/>
        </w:rPr>
        <w:t xml:space="preserve"> </w:t>
      </w:r>
      <w:r w:rsidRPr="00361BBD">
        <w:rPr>
          <w:rFonts w:cstheme="minorHAnsi"/>
          <w:lang w:val="mk-MK"/>
        </w:rPr>
        <w:t>Прашања ќе можат да се поставуваат до пет дена пред затворањето на Повикот.</w:t>
      </w:r>
    </w:p>
    <w:p w14:paraId="268B49F2" w14:textId="48A087A1" w:rsidR="00E87478" w:rsidRDefault="00E87478" w:rsidP="00361BBD">
      <w:pPr>
        <w:jc w:val="both"/>
        <w:rPr>
          <w:rFonts w:cstheme="minorHAnsi"/>
          <w:lang w:val="mk-MK"/>
        </w:rPr>
      </w:pPr>
    </w:p>
    <w:p w14:paraId="5180069A" w14:textId="3CCD61A4" w:rsidR="00E87478" w:rsidRPr="00E87478" w:rsidRDefault="00E87478" w:rsidP="00361BBD">
      <w:pPr>
        <w:jc w:val="both"/>
        <w:rPr>
          <w:rFonts w:cstheme="minorHAnsi"/>
        </w:rPr>
      </w:pPr>
      <w:r>
        <w:rPr>
          <w:rFonts w:cstheme="minorHAnsi"/>
          <w:lang w:val="mk-MK"/>
        </w:rPr>
        <w:t>Имајќи ги предвид претстојните вонредни парламентарни избори закажани за 15 јули 2020 г. и потешкотиите кои ќе ги предизвикаат во редовната работа на општините, одлуките на советите на општините/регионите ќе може дополнително да се достават, но не подоцна од 17 август 2020 г.</w:t>
      </w:r>
    </w:p>
    <w:p w14:paraId="4E9A1320" w14:textId="2D60BF63" w:rsidR="00E24956" w:rsidRDefault="00E24956" w:rsidP="00536425">
      <w:pPr>
        <w:jc w:val="both"/>
        <w:rPr>
          <w:rFonts w:cstheme="minorHAnsi"/>
        </w:rPr>
      </w:pPr>
    </w:p>
    <w:p w14:paraId="6836996F" w14:textId="4675EA48" w:rsidR="003102B9" w:rsidRPr="00361BBD" w:rsidRDefault="00A64CC0" w:rsidP="00361BBD">
      <w:pPr>
        <w:jc w:val="both"/>
        <w:rPr>
          <w:rFonts w:cstheme="minorHAnsi"/>
        </w:rPr>
      </w:pPr>
      <w:r w:rsidRPr="00361BBD">
        <w:rPr>
          <w:rFonts w:cstheme="minorHAnsi"/>
          <w:lang w:val="mk-MK"/>
        </w:rPr>
        <w:t>Распрашување</w:t>
      </w:r>
      <w:r>
        <w:rPr>
          <w:rFonts w:cstheme="minorHAnsi"/>
          <w:lang w:val="mk-MK"/>
        </w:rPr>
        <w:t xml:space="preserve"> л</w:t>
      </w:r>
      <w:r w:rsidR="00361BBD" w:rsidRPr="00361BBD">
        <w:rPr>
          <w:rFonts w:cstheme="minorHAnsi"/>
          <w:lang w:val="mk-MK"/>
        </w:rPr>
        <w:t>ично и по телефон не е дозволено.</w:t>
      </w:r>
    </w:p>
    <w:p w14:paraId="11A91D14" w14:textId="77777777" w:rsidR="003102B9" w:rsidRPr="00EE14DB" w:rsidRDefault="003102B9" w:rsidP="00536425">
      <w:pPr>
        <w:jc w:val="both"/>
        <w:rPr>
          <w:rFonts w:cstheme="minorHAnsi"/>
        </w:rPr>
      </w:pPr>
    </w:p>
    <w:p w14:paraId="1FCD555E" w14:textId="06025937" w:rsidR="003102B9" w:rsidRPr="00361BBD" w:rsidRDefault="00361BBD" w:rsidP="00361BBD">
      <w:pPr>
        <w:jc w:val="both"/>
        <w:rPr>
          <w:rFonts w:cstheme="minorHAnsi"/>
        </w:rPr>
      </w:pPr>
      <w:r w:rsidRPr="00361BBD">
        <w:rPr>
          <w:rFonts w:cstheme="minorHAnsi"/>
          <w:lang w:val="mk-MK"/>
        </w:rPr>
        <w:t>УНДП го задржува правото да смени елементи од Повикот, меѓу другото после прашањата од потенцијални баратели.</w:t>
      </w:r>
      <w:r w:rsidR="003102B9" w:rsidRPr="00361BBD">
        <w:rPr>
          <w:rFonts w:cstheme="minorHAnsi"/>
        </w:rPr>
        <w:t xml:space="preserve"> </w:t>
      </w:r>
      <w:r w:rsidRPr="00361BBD">
        <w:rPr>
          <w:rFonts w:cstheme="minorHAnsi"/>
          <w:lang w:val="mk-MK"/>
        </w:rPr>
        <w:t>Доколку природата на промените е таква што бара дополнител</w:t>
      </w:r>
      <w:r w:rsidR="00C50996">
        <w:rPr>
          <w:rFonts w:cstheme="minorHAnsi"/>
          <w:lang w:val="mk-MK"/>
        </w:rPr>
        <w:t>на работа</w:t>
      </w:r>
      <w:r w:rsidRPr="00361BBD">
        <w:rPr>
          <w:rFonts w:cstheme="minorHAnsi"/>
          <w:lang w:val="mk-MK"/>
        </w:rPr>
        <w:t xml:space="preserve"> од страна на барателите или промените се прават пред самиот датум кога завршува повикот, УНДП може да дозволи пролонгирање на периодот за пријавување на повикот.</w:t>
      </w:r>
    </w:p>
    <w:p w14:paraId="2350CD78" w14:textId="14AAB45E" w:rsidR="003102B9" w:rsidRDefault="003102B9" w:rsidP="0044635D"/>
    <w:p w14:paraId="73D63EA1" w14:textId="77777777" w:rsidR="003D0A08" w:rsidRPr="00EE14DB" w:rsidRDefault="003D0A08" w:rsidP="0044635D"/>
    <w:p w14:paraId="6DE731A8" w14:textId="29C97A6F" w:rsidR="004F733A" w:rsidRPr="00950648" w:rsidRDefault="004A704B" w:rsidP="00950648">
      <w:pPr>
        <w:rPr>
          <w:b/>
        </w:rPr>
      </w:pPr>
      <w:r w:rsidRPr="00EE14DB">
        <w:rPr>
          <w:b/>
        </w:rPr>
        <w:t xml:space="preserve">2.3. </w:t>
      </w:r>
      <w:r w:rsidR="00950648" w:rsidRPr="00950648">
        <w:rPr>
          <w:b/>
          <w:lang w:val="mk-MK"/>
        </w:rPr>
        <w:t>Евалуација и селекција на пријавите</w:t>
      </w:r>
    </w:p>
    <w:p w14:paraId="5968FBA8" w14:textId="77777777" w:rsidR="004A704B" w:rsidRPr="00EE14DB" w:rsidRDefault="004A704B" w:rsidP="0044635D">
      <w:pPr>
        <w:rPr>
          <w:b/>
        </w:rPr>
      </w:pPr>
    </w:p>
    <w:p w14:paraId="2B8B3F2A" w14:textId="0172DA3E" w:rsidR="0075542B" w:rsidRPr="00950648" w:rsidRDefault="00950648" w:rsidP="00950648">
      <w:pPr>
        <w:jc w:val="both"/>
      </w:pPr>
      <w:r w:rsidRPr="00950648">
        <w:rPr>
          <w:lang w:val="mk-MK"/>
        </w:rPr>
        <w:t>По затворањето на Повикот за предлози, ќе се спроведе евалуацијата на пријавите за да се направи ранг листа на предлозите и да се утврди на кои ќе им бидат доделени средства согласно овој Повик. Евалуацијата ќе биде спроведена од Комитет за евалуација со помош од градежен инженер назначен од УНДП.</w:t>
      </w:r>
      <w:r w:rsidR="00CB3307" w:rsidRPr="00950648">
        <w:t xml:space="preserve"> </w:t>
      </w:r>
      <w:r w:rsidRPr="00950648">
        <w:rPr>
          <w:b/>
          <w:lang w:val="mk-MK"/>
        </w:rPr>
        <w:t>За еден проект да се квалификува за добивање финансиски средства мора да освои најмалку 55 поени.</w:t>
      </w:r>
    </w:p>
    <w:p w14:paraId="5B7D64C1" w14:textId="77777777" w:rsidR="003D0A08" w:rsidRDefault="003D0A08" w:rsidP="00950648">
      <w:pPr>
        <w:jc w:val="both"/>
        <w:rPr>
          <w:lang w:val="mk-MK"/>
        </w:rPr>
      </w:pPr>
    </w:p>
    <w:p w14:paraId="1802EDA6" w14:textId="7D2DA770" w:rsidR="0075542B" w:rsidRPr="00950648" w:rsidRDefault="00950648" w:rsidP="00950648">
      <w:pPr>
        <w:jc w:val="both"/>
      </w:pPr>
      <w:r w:rsidRPr="00950648">
        <w:rPr>
          <w:lang w:val="mk-MK"/>
        </w:rPr>
        <w:t>Евалуацијата ќе биде спроведена согласно следниве однапред утврдени критериуми и шема за евалуација:</w:t>
      </w:r>
    </w:p>
    <w:p w14:paraId="4363C668" w14:textId="77777777" w:rsidR="0040777C" w:rsidRPr="00EE14DB" w:rsidRDefault="0040777C" w:rsidP="0044635D"/>
    <w:p w14:paraId="20E9C1E8" w14:textId="2B624670" w:rsidR="00950648" w:rsidRPr="00950648" w:rsidRDefault="00950648" w:rsidP="00950648">
      <w:pPr>
        <w:pStyle w:val="ListParagraph"/>
        <w:numPr>
          <w:ilvl w:val="0"/>
          <w:numId w:val="16"/>
        </w:numPr>
        <w:ind w:left="284" w:hanging="284"/>
      </w:pPr>
      <w:r w:rsidRPr="00950648">
        <w:rPr>
          <w:lang w:val="mk-MK"/>
        </w:rPr>
        <w:t>АДМИНИСТРАТИВНИ КРИТЕРИУМИ И ПОГОДНОСТ НА БАРАТЕЛИТЕ / ПРОЕКТИТЕ / АКТИВНОСТИТЕ</w:t>
      </w:r>
    </w:p>
    <w:tbl>
      <w:tblPr>
        <w:tblStyle w:val="TableGrid"/>
        <w:tblW w:w="0" w:type="auto"/>
        <w:tblLook w:val="04A0" w:firstRow="1" w:lastRow="0" w:firstColumn="1" w:lastColumn="0" w:noHBand="0" w:noVBand="1"/>
      </w:tblPr>
      <w:tblGrid>
        <w:gridCol w:w="5949"/>
        <w:gridCol w:w="2097"/>
      </w:tblGrid>
      <w:tr w:rsidR="00E45FF7" w:rsidRPr="00EE14DB" w14:paraId="57188E53" w14:textId="77777777" w:rsidTr="004C3A81">
        <w:tc>
          <w:tcPr>
            <w:tcW w:w="5949" w:type="dxa"/>
          </w:tcPr>
          <w:p w14:paraId="78F05482" w14:textId="31DC695A" w:rsidR="00E45FF7" w:rsidRPr="00EE14DB" w:rsidRDefault="00E45FF7" w:rsidP="00E45FF7">
            <w:pPr>
              <w:spacing w:line="276" w:lineRule="auto"/>
            </w:pPr>
            <w:r w:rsidRPr="00F455B8">
              <w:rPr>
                <w:lang w:val="mk-MK"/>
              </w:rPr>
              <w:t>КРИТЕРИУМ</w:t>
            </w:r>
          </w:p>
        </w:tc>
        <w:tc>
          <w:tcPr>
            <w:tcW w:w="2097" w:type="dxa"/>
          </w:tcPr>
          <w:p w14:paraId="36E700DA" w14:textId="0FFC2B9F" w:rsidR="00E45FF7" w:rsidRPr="00EE14DB" w:rsidRDefault="00E45FF7" w:rsidP="00E45FF7">
            <w:pPr>
              <w:spacing w:line="276" w:lineRule="auto"/>
              <w:jc w:val="center"/>
            </w:pPr>
            <w:r w:rsidRPr="00F455B8">
              <w:rPr>
                <w:lang w:val="mk-MK"/>
              </w:rPr>
              <w:t>оценка</w:t>
            </w:r>
          </w:p>
        </w:tc>
      </w:tr>
      <w:tr w:rsidR="00887E25" w:rsidRPr="00EE14DB" w14:paraId="5CF8B5EB" w14:textId="77777777" w:rsidTr="004C3A81">
        <w:tc>
          <w:tcPr>
            <w:tcW w:w="5949" w:type="dxa"/>
            <w:shd w:val="clear" w:color="auto" w:fill="D9D9D9" w:themeFill="background1" w:themeFillShade="D9"/>
          </w:tcPr>
          <w:p w14:paraId="6418EBE7" w14:textId="503E4593" w:rsidR="00887E25" w:rsidRPr="00EE14DB" w:rsidRDefault="00263E9D" w:rsidP="00887E25">
            <w:pPr>
              <w:pStyle w:val="Header"/>
              <w:tabs>
                <w:tab w:val="clear" w:pos="4536"/>
                <w:tab w:val="clear" w:pos="9072"/>
              </w:tabs>
              <w:spacing w:line="276" w:lineRule="auto"/>
            </w:pPr>
            <w:r w:rsidRPr="00F455B8">
              <w:rPr>
                <w:lang w:val="mk-MK"/>
              </w:rPr>
              <w:t>Дали барателот е подобен согласно правилата на Повикот за предлози?</w:t>
            </w:r>
            <w:r>
              <w:rPr>
                <w:lang w:val="mk-MK"/>
              </w:rPr>
              <w:t xml:space="preserve"> (дел 2.1.1)</w:t>
            </w:r>
          </w:p>
        </w:tc>
        <w:tc>
          <w:tcPr>
            <w:tcW w:w="2097" w:type="dxa"/>
            <w:shd w:val="clear" w:color="auto" w:fill="D9D9D9" w:themeFill="background1" w:themeFillShade="D9"/>
          </w:tcPr>
          <w:p w14:paraId="2B1EF062" w14:textId="48CC731A" w:rsidR="00887E25" w:rsidRPr="00EE14DB" w:rsidRDefault="00887E25" w:rsidP="00887E25">
            <w:pPr>
              <w:spacing w:line="276" w:lineRule="auto"/>
              <w:jc w:val="center"/>
            </w:pPr>
            <w:r w:rsidRPr="00F455B8">
              <w:rPr>
                <w:lang w:val="mk-MK"/>
              </w:rPr>
              <w:t>ДА / НЕ</w:t>
            </w:r>
          </w:p>
        </w:tc>
      </w:tr>
      <w:tr w:rsidR="00887E25" w:rsidRPr="00EE14DB" w14:paraId="01096948" w14:textId="77777777" w:rsidTr="004C3A81">
        <w:tc>
          <w:tcPr>
            <w:tcW w:w="5949" w:type="dxa"/>
          </w:tcPr>
          <w:p w14:paraId="4C67DBCD" w14:textId="2AB4AD1F" w:rsidR="00887E25" w:rsidRPr="00263E9D" w:rsidRDefault="00263E9D" w:rsidP="00887E25">
            <w:pPr>
              <w:spacing w:line="276" w:lineRule="auto"/>
              <w:rPr>
                <w:lang w:val="mk-MK"/>
              </w:rPr>
            </w:pPr>
            <w:r w:rsidRPr="00F455B8">
              <w:rPr>
                <w:lang w:val="mk-MK"/>
              </w:rPr>
              <w:t xml:space="preserve">Дали проектот што е предложен да добие </w:t>
            </w:r>
            <w:r>
              <w:rPr>
                <w:lang w:val="mk-MK"/>
              </w:rPr>
              <w:t xml:space="preserve">средства </w:t>
            </w:r>
            <w:r w:rsidRPr="00F455B8">
              <w:rPr>
                <w:lang w:val="mk-MK"/>
              </w:rPr>
              <w:t xml:space="preserve">за подготовката </w:t>
            </w:r>
            <w:r>
              <w:rPr>
                <w:lang w:val="mk-MK"/>
              </w:rPr>
              <w:t>е опфатен со</w:t>
            </w:r>
            <w:r w:rsidRPr="00F455B8">
              <w:rPr>
                <w:lang w:val="mk-MK"/>
              </w:rPr>
              <w:t xml:space="preserve"> листата на проекти што се подобни за финансирање?</w:t>
            </w:r>
            <w:r>
              <w:rPr>
                <w:lang w:val="mk-MK"/>
              </w:rPr>
              <w:t xml:space="preserve"> (дел 2.1.2)</w:t>
            </w:r>
          </w:p>
        </w:tc>
        <w:tc>
          <w:tcPr>
            <w:tcW w:w="2097" w:type="dxa"/>
          </w:tcPr>
          <w:p w14:paraId="476822BC" w14:textId="559DB18A" w:rsidR="00887E25" w:rsidRPr="00EE14DB" w:rsidRDefault="00887E25" w:rsidP="00887E25">
            <w:pPr>
              <w:spacing w:line="276" w:lineRule="auto"/>
              <w:jc w:val="center"/>
            </w:pPr>
            <w:r w:rsidRPr="00F455B8">
              <w:rPr>
                <w:lang w:val="mk-MK"/>
              </w:rPr>
              <w:t>ДА / НЕ</w:t>
            </w:r>
          </w:p>
        </w:tc>
      </w:tr>
      <w:tr w:rsidR="00887E25" w:rsidRPr="00EE14DB" w14:paraId="21AEB87D" w14:textId="77777777" w:rsidTr="004C3A81">
        <w:tc>
          <w:tcPr>
            <w:tcW w:w="5949" w:type="dxa"/>
            <w:shd w:val="clear" w:color="auto" w:fill="D9D9D9" w:themeFill="background1" w:themeFillShade="D9"/>
          </w:tcPr>
          <w:p w14:paraId="6118A09B" w14:textId="29C36BFC" w:rsidR="00887E25" w:rsidRPr="00EE14DB" w:rsidRDefault="00263E9D" w:rsidP="00887E25">
            <w:pPr>
              <w:spacing w:line="276" w:lineRule="auto"/>
            </w:pPr>
            <w:r w:rsidRPr="00F455B8">
              <w:rPr>
                <w:lang w:val="mk-MK"/>
              </w:rPr>
              <w:t xml:space="preserve">Дали типот на проектната документација за која се бараат финансиски средства </w:t>
            </w:r>
            <w:r>
              <w:rPr>
                <w:lang w:val="mk-MK"/>
              </w:rPr>
              <w:t>е</w:t>
            </w:r>
            <w:r w:rsidRPr="00F455B8">
              <w:rPr>
                <w:lang w:val="mk-MK"/>
              </w:rPr>
              <w:t xml:space="preserve"> на листата на подобни проектни документи?</w:t>
            </w:r>
            <w:r>
              <w:rPr>
                <w:lang w:val="mk-MK"/>
              </w:rPr>
              <w:t xml:space="preserve"> (дел 2.1.3)</w:t>
            </w:r>
          </w:p>
        </w:tc>
        <w:tc>
          <w:tcPr>
            <w:tcW w:w="2097" w:type="dxa"/>
            <w:shd w:val="clear" w:color="auto" w:fill="D9D9D9" w:themeFill="background1" w:themeFillShade="D9"/>
          </w:tcPr>
          <w:p w14:paraId="08D65605" w14:textId="26F22315" w:rsidR="00887E25" w:rsidRPr="00EE14DB" w:rsidRDefault="00887E25" w:rsidP="00887E25">
            <w:pPr>
              <w:spacing w:line="276" w:lineRule="auto"/>
              <w:jc w:val="center"/>
            </w:pPr>
            <w:r w:rsidRPr="00F455B8">
              <w:rPr>
                <w:lang w:val="mk-MK"/>
              </w:rPr>
              <w:t>ДА / НЕ</w:t>
            </w:r>
          </w:p>
        </w:tc>
      </w:tr>
      <w:tr w:rsidR="00887E25" w:rsidRPr="00EE14DB" w14:paraId="3307F831" w14:textId="77777777" w:rsidTr="00CB678F">
        <w:tc>
          <w:tcPr>
            <w:tcW w:w="5949" w:type="dxa"/>
            <w:shd w:val="clear" w:color="auto" w:fill="auto"/>
          </w:tcPr>
          <w:p w14:paraId="75F7AC71" w14:textId="091D502D" w:rsidR="00887E25" w:rsidRPr="00EE14DB" w:rsidRDefault="00263E9D" w:rsidP="00887E25">
            <w:bookmarkStart w:id="5" w:name="_Hlk41996752"/>
            <w:r w:rsidRPr="00F455B8">
              <w:rPr>
                <w:lang w:val="mk-MK"/>
              </w:rPr>
              <w:t xml:space="preserve">Дали проектот е </w:t>
            </w:r>
            <w:r>
              <w:rPr>
                <w:lang w:val="mk-MK"/>
              </w:rPr>
              <w:t xml:space="preserve">одобрен/усвоен </w:t>
            </w:r>
            <w:r w:rsidRPr="00F455B8">
              <w:rPr>
                <w:lang w:val="mk-MK"/>
              </w:rPr>
              <w:t>од општинскиот совет</w:t>
            </w:r>
            <w:r>
              <w:rPr>
                <w:lang w:val="mk-MK"/>
              </w:rPr>
              <w:t xml:space="preserve"> или регионалниот совет</w:t>
            </w:r>
            <w:r w:rsidRPr="00F455B8">
              <w:rPr>
                <w:lang w:val="mk-MK"/>
              </w:rPr>
              <w:t>?</w:t>
            </w:r>
            <w:r>
              <w:rPr>
                <w:lang w:val="mk-MK"/>
              </w:rPr>
              <w:t xml:space="preserve"> Дали одлуката на советот</w:t>
            </w:r>
            <w:r w:rsidR="00072985">
              <w:rPr>
                <w:lang w:val="mk-MK"/>
              </w:rPr>
              <w:t xml:space="preserve"> е</w:t>
            </w:r>
            <w:r>
              <w:rPr>
                <w:lang w:val="mk-MK"/>
              </w:rPr>
              <w:t xml:space="preserve"> приложена?</w:t>
            </w:r>
          </w:p>
        </w:tc>
        <w:tc>
          <w:tcPr>
            <w:tcW w:w="2097" w:type="dxa"/>
            <w:shd w:val="clear" w:color="auto" w:fill="auto"/>
          </w:tcPr>
          <w:p w14:paraId="399F658F" w14:textId="4407D36A" w:rsidR="00887E25" w:rsidRPr="00EE14DB" w:rsidRDefault="00887E25" w:rsidP="00887E25">
            <w:pPr>
              <w:jc w:val="center"/>
            </w:pPr>
            <w:r w:rsidRPr="00F455B8">
              <w:rPr>
                <w:lang w:val="mk-MK"/>
              </w:rPr>
              <w:t>ДА / НЕ</w:t>
            </w:r>
          </w:p>
        </w:tc>
      </w:tr>
      <w:bookmarkEnd w:id="5"/>
      <w:tr w:rsidR="00887E25" w:rsidRPr="00EE14DB" w14:paraId="5A885D87" w14:textId="77777777" w:rsidTr="00CB678F">
        <w:tc>
          <w:tcPr>
            <w:tcW w:w="5949" w:type="dxa"/>
            <w:shd w:val="clear" w:color="auto" w:fill="D9D9D9" w:themeFill="background1" w:themeFillShade="D9"/>
          </w:tcPr>
          <w:p w14:paraId="46E84F81" w14:textId="7A688252" w:rsidR="00D634C5" w:rsidRPr="00FC4B00" w:rsidRDefault="00FC4B00" w:rsidP="0046430B">
            <w:r>
              <w:rPr>
                <w:lang w:val="mk-MK"/>
              </w:rPr>
              <w:t xml:space="preserve">Дали се имотно-правните односи во врска со имотот/локацијата на која се однесува предлог-проектот чисти, без проблеми и конфликти? Дали е </w:t>
            </w:r>
            <w:r w:rsidR="00D634C5">
              <w:rPr>
                <w:lang w:val="mk-MK"/>
              </w:rPr>
              <w:t>кон апликацијата приложен</w:t>
            </w:r>
            <w:r w:rsidR="005D448E">
              <w:rPr>
                <w:lang w:val="mk-MK"/>
              </w:rPr>
              <w:t xml:space="preserve"> имотен лист</w:t>
            </w:r>
            <w:r>
              <w:rPr>
                <w:lang w:val="mk-MK"/>
              </w:rPr>
              <w:t>?</w:t>
            </w:r>
            <w:r>
              <w:t xml:space="preserve"> </w:t>
            </w:r>
          </w:p>
        </w:tc>
        <w:tc>
          <w:tcPr>
            <w:tcW w:w="2097" w:type="dxa"/>
            <w:shd w:val="clear" w:color="auto" w:fill="D9D9D9" w:themeFill="background1" w:themeFillShade="D9"/>
          </w:tcPr>
          <w:p w14:paraId="593ED543" w14:textId="54F6CF2B" w:rsidR="00887E25" w:rsidRPr="00EE14DB" w:rsidRDefault="00887E25" w:rsidP="00887E25">
            <w:pPr>
              <w:spacing w:line="276" w:lineRule="auto"/>
              <w:jc w:val="center"/>
            </w:pPr>
            <w:r w:rsidRPr="00F455B8">
              <w:rPr>
                <w:lang w:val="mk-MK"/>
              </w:rPr>
              <w:t>ДА / НЕ</w:t>
            </w:r>
          </w:p>
        </w:tc>
      </w:tr>
      <w:tr w:rsidR="00D634C5" w:rsidRPr="00EE14DB" w14:paraId="459A8A59" w14:textId="77777777" w:rsidTr="00D634C5">
        <w:tc>
          <w:tcPr>
            <w:tcW w:w="5949" w:type="dxa"/>
            <w:shd w:val="clear" w:color="auto" w:fill="D9D9D9" w:themeFill="background1" w:themeFillShade="D9"/>
          </w:tcPr>
          <w:p w14:paraId="27B4F4E4" w14:textId="174DB557" w:rsidR="00D634C5" w:rsidRPr="00D634C5" w:rsidDel="00FC4B00" w:rsidRDefault="00D634C5" w:rsidP="00887E25">
            <w:pPr>
              <w:rPr>
                <w:lang w:val="mk-MK"/>
              </w:rPr>
            </w:pPr>
            <w:r>
              <w:rPr>
                <w:lang w:val="mk-MK"/>
              </w:rPr>
              <w:t>Дали барателот ги доставил бараните достапни податоци потребни за пресметка на Индексот? *</w:t>
            </w:r>
          </w:p>
        </w:tc>
        <w:tc>
          <w:tcPr>
            <w:tcW w:w="2097" w:type="dxa"/>
            <w:shd w:val="clear" w:color="auto" w:fill="D9D9D9" w:themeFill="background1" w:themeFillShade="D9"/>
          </w:tcPr>
          <w:p w14:paraId="64239F13" w14:textId="4DF3CD2E" w:rsidR="00D634C5" w:rsidRPr="00F455B8" w:rsidRDefault="00D634C5" w:rsidP="00887E25">
            <w:pPr>
              <w:jc w:val="center"/>
              <w:rPr>
                <w:lang w:val="mk-MK"/>
              </w:rPr>
            </w:pPr>
            <w:r w:rsidRPr="00F455B8">
              <w:rPr>
                <w:lang w:val="mk-MK"/>
              </w:rPr>
              <w:t>ДА / НЕ</w:t>
            </w:r>
          </w:p>
        </w:tc>
      </w:tr>
      <w:tr w:rsidR="00FC4B00" w:rsidRPr="00EE14DB" w14:paraId="7D4A1578" w14:textId="77777777" w:rsidTr="004C3A81">
        <w:tc>
          <w:tcPr>
            <w:tcW w:w="5949" w:type="dxa"/>
          </w:tcPr>
          <w:p w14:paraId="5AF67AFF" w14:textId="0DD36E1D" w:rsidR="00FC4B00" w:rsidRPr="00D634C5" w:rsidRDefault="00D634C5" w:rsidP="00887E25">
            <w:pPr>
              <w:rPr>
                <w:lang w:val="mk-MK"/>
              </w:rPr>
            </w:pPr>
            <w:r>
              <w:rPr>
                <w:lang w:val="mk-MK"/>
              </w:rPr>
              <w:t>Дали проектот ги задоволува критериумите за регионален проект согласно упатствата за рамномерен регионален развој? **</w:t>
            </w:r>
          </w:p>
        </w:tc>
        <w:tc>
          <w:tcPr>
            <w:tcW w:w="2097" w:type="dxa"/>
          </w:tcPr>
          <w:p w14:paraId="3CD97429" w14:textId="7F05670E" w:rsidR="00FC4B00" w:rsidRPr="00F455B8" w:rsidRDefault="00D634C5" w:rsidP="00887E25">
            <w:pPr>
              <w:jc w:val="center"/>
              <w:rPr>
                <w:lang w:val="mk-MK"/>
              </w:rPr>
            </w:pPr>
            <w:r w:rsidRPr="00F455B8">
              <w:rPr>
                <w:lang w:val="mk-MK"/>
              </w:rPr>
              <w:t>ДА / НЕ</w:t>
            </w:r>
          </w:p>
        </w:tc>
      </w:tr>
    </w:tbl>
    <w:p w14:paraId="3C78FD5A" w14:textId="387FDE6F" w:rsidR="0075542B" w:rsidRPr="00CB678F" w:rsidRDefault="00263E9D" w:rsidP="0044635D">
      <w:pPr>
        <w:rPr>
          <w:i/>
          <w:iCs/>
          <w:sz w:val="20"/>
          <w:szCs w:val="20"/>
          <w:lang w:val="mk-MK"/>
        </w:rPr>
      </w:pPr>
      <w:r w:rsidRPr="00CB678F">
        <w:rPr>
          <w:i/>
          <w:iCs/>
          <w:sz w:val="20"/>
          <w:szCs w:val="20"/>
          <w:lang w:val="mk-MK"/>
        </w:rPr>
        <w:t>Полињата означени со</w:t>
      </w:r>
      <w:r w:rsidR="00121CAA" w:rsidRPr="00CB678F">
        <w:rPr>
          <w:i/>
          <w:iCs/>
          <w:sz w:val="20"/>
          <w:szCs w:val="20"/>
        </w:rPr>
        <w:t xml:space="preserve"> * </w:t>
      </w:r>
      <w:r w:rsidRPr="00CB678F">
        <w:rPr>
          <w:i/>
          <w:iCs/>
          <w:sz w:val="20"/>
          <w:szCs w:val="20"/>
          <w:lang w:val="mk-MK"/>
        </w:rPr>
        <w:t>не важат за пријавите на Регионалните центри</w:t>
      </w:r>
      <w:r w:rsidR="00DD7032" w:rsidRPr="00CB678F">
        <w:rPr>
          <w:i/>
          <w:iCs/>
          <w:sz w:val="20"/>
          <w:szCs w:val="20"/>
          <w:lang w:val="mk-MK"/>
        </w:rPr>
        <w:t>.</w:t>
      </w:r>
    </w:p>
    <w:p w14:paraId="005D1AD0" w14:textId="5D545044" w:rsidR="00D634C5" w:rsidRPr="00CB678F" w:rsidRDefault="00D634C5" w:rsidP="0046430B">
      <w:pPr>
        <w:jc w:val="both"/>
        <w:rPr>
          <w:i/>
          <w:iCs/>
          <w:sz w:val="20"/>
          <w:szCs w:val="20"/>
          <w:lang w:val="mk-MK"/>
        </w:rPr>
      </w:pPr>
      <w:r w:rsidRPr="00CB678F">
        <w:rPr>
          <w:i/>
          <w:iCs/>
          <w:sz w:val="20"/>
          <w:szCs w:val="20"/>
          <w:lang w:val="mk-MK"/>
        </w:rPr>
        <w:t>Полињата означени со</w:t>
      </w:r>
      <w:r w:rsidRPr="00CB678F">
        <w:rPr>
          <w:i/>
          <w:iCs/>
          <w:sz w:val="20"/>
          <w:szCs w:val="20"/>
        </w:rPr>
        <w:t xml:space="preserve"> *</w:t>
      </w:r>
      <w:r w:rsidRPr="00CB678F">
        <w:rPr>
          <w:i/>
          <w:iCs/>
          <w:sz w:val="20"/>
          <w:szCs w:val="20"/>
          <w:lang w:val="mk-MK"/>
        </w:rPr>
        <w:t>* важат конкретно за Регионалните центри. Критериумите (види Прилог 1) се исти како тие кои се користат при аплицирање за средства од Програмата за рамномерен регионален развој.</w:t>
      </w:r>
    </w:p>
    <w:p w14:paraId="7FF59B6C" w14:textId="77777777" w:rsidR="00121CAA" w:rsidRDefault="00121CAA" w:rsidP="0040777C"/>
    <w:p w14:paraId="089C4276" w14:textId="305B17DB" w:rsidR="0040777C" w:rsidRPr="00263E9D" w:rsidRDefault="0040777C" w:rsidP="00263E9D">
      <w:r w:rsidRPr="00EE14DB">
        <w:t xml:space="preserve">2. </w:t>
      </w:r>
      <w:r w:rsidR="00263E9D" w:rsidRPr="00263E9D">
        <w:rPr>
          <w:lang w:val="mk-MK"/>
        </w:rPr>
        <w:t>ОЦЕНУВАЊЕ СОГЛАСНО ИНДЕКСОТ НА РАЗВИЕНОСТ НА ОПШТИНИТЕ И МЕЃУОПШТИНСКА</w:t>
      </w:r>
      <w:r w:rsidR="00072985">
        <w:rPr>
          <w:lang w:val="mk-MK"/>
        </w:rPr>
        <w:t>ТА</w:t>
      </w:r>
      <w:r w:rsidR="00263E9D" w:rsidRPr="00263E9D">
        <w:rPr>
          <w:lang w:val="mk-MK"/>
        </w:rPr>
        <w:t xml:space="preserve"> СОРАБОТКА (Максимални можни поени: 40)</w:t>
      </w:r>
    </w:p>
    <w:tbl>
      <w:tblPr>
        <w:tblStyle w:val="TableGrid"/>
        <w:tblW w:w="0" w:type="auto"/>
        <w:tblLook w:val="04A0" w:firstRow="1" w:lastRow="0" w:firstColumn="1" w:lastColumn="0" w:noHBand="0" w:noVBand="1"/>
      </w:tblPr>
      <w:tblGrid>
        <w:gridCol w:w="5920"/>
        <w:gridCol w:w="2126"/>
      </w:tblGrid>
      <w:tr w:rsidR="00263E9D" w:rsidRPr="00EE14DB" w14:paraId="5D68B92F" w14:textId="77777777" w:rsidTr="004C3A81">
        <w:tc>
          <w:tcPr>
            <w:tcW w:w="5920" w:type="dxa"/>
          </w:tcPr>
          <w:p w14:paraId="6DAE5765" w14:textId="36D7515F" w:rsidR="00263E9D" w:rsidRPr="00EE14DB" w:rsidRDefault="00263E9D" w:rsidP="00263E9D">
            <w:r w:rsidRPr="00F455B8">
              <w:rPr>
                <w:lang w:val="mk-MK"/>
              </w:rPr>
              <w:t>КРИТЕРИУМ</w:t>
            </w:r>
          </w:p>
        </w:tc>
        <w:tc>
          <w:tcPr>
            <w:tcW w:w="2126" w:type="dxa"/>
          </w:tcPr>
          <w:p w14:paraId="545BB62D" w14:textId="6AC98B21" w:rsidR="00263E9D" w:rsidRPr="00EE14DB" w:rsidRDefault="00263E9D" w:rsidP="00263E9D">
            <w:pPr>
              <w:jc w:val="center"/>
            </w:pPr>
            <w:r w:rsidRPr="00F455B8">
              <w:rPr>
                <w:lang w:val="mk-MK"/>
              </w:rPr>
              <w:t>Максимален број поени што можат да се добијат</w:t>
            </w:r>
          </w:p>
        </w:tc>
      </w:tr>
      <w:tr w:rsidR="00B73BC2" w:rsidRPr="00EE14DB" w14:paraId="650AD2A5" w14:textId="77777777" w:rsidTr="004C3A81">
        <w:tc>
          <w:tcPr>
            <w:tcW w:w="5920" w:type="dxa"/>
            <w:shd w:val="clear" w:color="auto" w:fill="D9D9D9" w:themeFill="background1" w:themeFillShade="D9"/>
          </w:tcPr>
          <w:p w14:paraId="15951BF0" w14:textId="70C30FB6" w:rsidR="00B73BC2" w:rsidRPr="00EE14DB" w:rsidRDefault="00263E9D" w:rsidP="0040777C">
            <w:r w:rsidRPr="00F455B8">
              <w:rPr>
                <w:lang w:val="mk-MK"/>
              </w:rPr>
              <w:lastRenderedPageBreak/>
              <w:t>На која категорија од Индексот</w:t>
            </w:r>
            <w:r>
              <w:rPr>
                <w:lang w:val="mk-MK"/>
              </w:rPr>
              <w:t xml:space="preserve"> на развиеност на општините</w:t>
            </w:r>
            <w:r w:rsidRPr="00F455B8">
              <w:rPr>
                <w:lang w:val="mk-MK"/>
              </w:rPr>
              <w:t xml:space="preserve">, според актуелната вредност на </w:t>
            </w:r>
            <w:r w:rsidR="00072985" w:rsidRPr="00F455B8">
              <w:rPr>
                <w:lang w:val="mk-MK"/>
              </w:rPr>
              <w:t xml:space="preserve">индексот </w:t>
            </w:r>
            <w:r w:rsidRPr="00F455B8">
              <w:rPr>
                <w:lang w:val="mk-MK"/>
              </w:rPr>
              <w:t>за разв</w:t>
            </w:r>
            <w:r w:rsidR="00072985">
              <w:rPr>
                <w:lang w:val="mk-MK"/>
              </w:rPr>
              <w:t>иеност</w:t>
            </w:r>
            <w:r w:rsidRPr="00F455B8">
              <w:rPr>
                <w:lang w:val="mk-MK"/>
              </w:rPr>
              <w:t xml:space="preserve"> припаѓа </w:t>
            </w:r>
            <w:r>
              <w:rPr>
                <w:lang w:val="mk-MK"/>
              </w:rPr>
              <w:t>пријавата</w:t>
            </w:r>
            <w:r w:rsidRPr="00F455B8">
              <w:rPr>
                <w:lang w:val="mk-MK"/>
              </w:rPr>
              <w:t>?</w:t>
            </w:r>
            <w:r w:rsidR="00121CAA">
              <w:t>*</w:t>
            </w:r>
          </w:p>
        </w:tc>
        <w:tc>
          <w:tcPr>
            <w:tcW w:w="2126" w:type="dxa"/>
            <w:shd w:val="clear" w:color="auto" w:fill="D9D9D9" w:themeFill="background1" w:themeFillShade="D9"/>
          </w:tcPr>
          <w:p w14:paraId="145D9431" w14:textId="208841C5" w:rsidR="00B73BC2" w:rsidRPr="00EE14DB" w:rsidRDefault="008C6622" w:rsidP="00B73BC2">
            <w:pPr>
              <w:jc w:val="center"/>
            </w:pPr>
            <w:r>
              <w:t>3</w:t>
            </w:r>
            <w:r w:rsidR="00B73BC2" w:rsidRPr="00EE14DB">
              <w:t>0</w:t>
            </w:r>
          </w:p>
        </w:tc>
      </w:tr>
      <w:tr w:rsidR="00B73BC2" w:rsidRPr="00EE14DB" w14:paraId="3F6C6900" w14:textId="77777777" w:rsidTr="004C3A81">
        <w:tc>
          <w:tcPr>
            <w:tcW w:w="5920" w:type="dxa"/>
          </w:tcPr>
          <w:p w14:paraId="5638B402" w14:textId="43513D12" w:rsidR="00B73BC2" w:rsidRPr="00EE14DB" w:rsidRDefault="00263E9D" w:rsidP="004C3A81">
            <w:pPr>
              <w:spacing w:line="276" w:lineRule="auto"/>
            </w:pPr>
            <w:r w:rsidRPr="00F455B8">
              <w:rPr>
                <w:lang w:val="mk-MK"/>
              </w:rPr>
              <w:t xml:space="preserve">Дали </w:t>
            </w:r>
            <w:r>
              <w:rPr>
                <w:lang w:val="mk-MK"/>
              </w:rPr>
              <w:t>пријавата</w:t>
            </w:r>
            <w:r w:rsidRPr="00F455B8">
              <w:rPr>
                <w:lang w:val="mk-MK"/>
              </w:rPr>
              <w:t xml:space="preserve"> </w:t>
            </w:r>
            <w:r>
              <w:rPr>
                <w:lang w:val="mk-MK"/>
              </w:rPr>
              <w:t xml:space="preserve">што </w:t>
            </w:r>
            <w:r w:rsidRPr="00F455B8">
              <w:rPr>
                <w:lang w:val="mk-MK"/>
              </w:rPr>
              <w:t>е поднесен</w:t>
            </w:r>
            <w:r>
              <w:rPr>
                <w:lang w:val="mk-MK"/>
              </w:rPr>
              <w:t xml:space="preserve">а резултат на соработката помеѓу </w:t>
            </w:r>
            <w:r w:rsidRPr="00F455B8">
              <w:rPr>
                <w:lang w:val="mk-MK"/>
              </w:rPr>
              <w:t>две или повеќе општини?</w:t>
            </w:r>
          </w:p>
        </w:tc>
        <w:tc>
          <w:tcPr>
            <w:tcW w:w="2126" w:type="dxa"/>
          </w:tcPr>
          <w:p w14:paraId="585E944E" w14:textId="0FACC983" w:rsidR="00B73BC2" w:rsidRPr="00EE14DB" w:rsidRDefault="008C6622" w:rsidP="004C3A81">
            <w:pPr>
              <w:spacing w:line="276" w:lineRule="auto"/>
              <w:jc w:val="center"/>
            </w:pPr>
            <w:r>
              <w:t>10</w:t>
            </w:r>
          </w:p>
        </w:tc>
      </w:tr>
    </w:tbl>
    <w:p w14:paraId="3D04F7B9" w14:textId="1C850FF5" w:rsidR="004A704B" w:rsidRPr="00CB678F" w:rsidRDefault="00121CAA" w:rsidP="00CB678F">
      <w:pPr>
        <w:jc w:val="both"/>
        <w:rPr>
          <w:i/>
          <w:iCs/>
          <w:sz w:val="20"/>
          <w:szCs w:val="20"/>
        </w:rPr>
      </w:pPr>
      <w:r w:rsidRPr="00CB678F">
        <w:rPr>
          <w:i/>
          <w:iCs/>
          <w:sz w:val="20"/>
          <w:szCs w:val="20"/>
        </w:rPr>
        <w:t xml:space="preserve">* </w:t>
      </w:r>
      <w:r w:rsidR="00263E9D" w:rsidRPr="00CB678F">
        <w:rPr>
          <w:i/>
          <w:iCs/>
          <w:sz w:val="20"/>
          <w:szCs w:val="20"/>
          <w:lang w:val="mk-MK"/>
        </w:rPr>
        <w:t>Во случај на меѓу-општинска соработка или пријави од регионални центри, во пресметката се зема вредноста на општината-учесник со најниска категорија</w:t>
      </w:r>
      <w:r w:rsidR="0031201F" w:rsidRPr="00CB678F">
        <w:rPr>
          <w:i/>
          <w:iCs/>
          <w:sz w:val="20"/>
          <w:szCs w:val="20"/>
          <w:lang w:val="mk-MK"/>
        </w:rPr>
        <w:t>. Во случај на регионален проект вредноста се пресметува како просек од вредностите на индексот за соодветните општини од планскиот регион.</w:t>
      </w:r>
    </w:p>
    <w:p w14:paraId="5BA562DD" w14:textId="77777777" w:rsidR="00121CAA" w:rsidRPr="00EE14DB" w:rsidRDefault="00121CAA" w:rsidP="0044635D"/>
    <w:p w14:paraId="02A03C11" w14:textId="6EE51FC0" w:rsidR="0040777C" w:rsidRPr="00EE14DB" w:rsidRDefault="0040777C" w:rsidP="0040777C">
      <w:r w:rsidRPr="00EE14DB">
        <w:t xml:space="preserve">3. </w:t>
      </w:r>
      <w:r w:rsidR="00263E9D" w:rsidRPr="00F455B8">
        <w:rPr>
          <w:lang w:val="mk-MK"/>
        </w:rPr>
        <w:t>РЕЛЕВАНТНОСТ НА ПРОЕКТОТ (Максимални можни поени: 30)</w:t>
      </w:r>
    </w:p>
    <w:tbl>
      <w:tblPr>
        <w:tblStyle w:val="TableGrid"/>
        <w:tblW w:w="0" w:type="auto"/>
        <w:tblLook w:val="04A0" w:firstRow="1" w:lastRow="0" w:firstColumn="1" w:lastColumn="0" w:noHBand="0" w:noVBand="1"/>
      </w:tblPr>
      <w:tblGrid>
        <w:gridCol w:w="5920"/>
        <w:gridCol w:w="2126"/>
      </w:tblGrid>
      <w:tr w:rsidR="00263E9D" w:rsidRPr="00EE14DB" w14:paraId="6CA1082C" w14:textId="77777777" w:rsidTr="004C3A81">
        <w:tc>
          <w:tcPr>
            <w:tcW w:w="5920" w:type="dxa"/>
          </w:tcPr>
          <w:p w14:paraId="582D1311" w14:textId="2C440C47" w:rsidR="00263E9D" w:rsidRPr="00EE14DB" w:rsidRDefault="00263E9D" w:rsidP="00263E9D">
            <w:r w:rsidRPr="00F455B8">
              <w:rPr>
                <w:lang w:val="mk-MK"/>
              </w:rPr>
              <w:t>КРИТЕРИУМ</w:t>
            </w:r>
          </w:p>
        </w:tc>
        <w:tc>
          <w:tcPr>
            <w:tcW w:w="2126" w:type="dxa"/>
          </w:tcPr>
          <w:p w14:paraId="54416A8A" w14:textId="61D569E7" w:rsidR="00263E9D" w:rsidRPr="00EE14DB" w:rsidRDefault="00263E9D" w:rsidP="00263E9D">
            <w:pPr>
              <w:jc w:val="center"/>
            </w:pPr>
            <w:r w:rsidRPr="00F455B8">
              <w:rPr>
                <w:lang w:val="mk-MK"/>
              </w:rPr>
              <w:t>Максимален број поени што можат да се добијат</w:t>
            </w:r>
          </w:p>
        </w:tc>
      </w:tr>
      <w:tr w:rsidR="00B73BC2" w:rsidRPr="00EE14DB" w14:paraId="5A363069" w14:textId="77777777" w:rsidTr="004C3A81">
        <w:tc>
          <w:tcPr>
            <w:tcW w:w="5920" w:type="dxa"/>
            <w:shd w:val="clear" w:color="auto" w:fill="D9D9D9" w:themeFill="background1" w:themeFillShade="D9"/>
          </w:tcPr>
          <w:p w14:paraId="78C36A3B" w14:textId="7337CA11" w:rsidR="00B73BC2" w:rsidRPr="00EE14DB" w:rsidRDefault="00327122" w:rsidP="0040777C">
            <w:r w:rsidRPr="00F455B8">
              <w:rPr>
                <w:lang w:val="mk-MK"/>
              </w:rPr>
              <w:t>Проектот јасно се осврнува на опишан</w:t>
            </w:r>
            <w:r>
              <w:rPr>
                <w:lang w:val="mk-MK"/>
              </w:rPr>
              <w:t>иот</w:t>
            </w:r>
            <w:r w:rsidRPr="00F455B8">
              <w:rPr>
                <w:lang w:val="mk-MK"/>
              </w:rPr>
              <w:t xml:space="preserve"> проблем</w:t>
            </w:r>
            <w:r w:rsidR="00B73BC2" w:rsidRPr="00EE14DB">
              <w:t xml:space="preserve">. </w:t>
            </w:r>
          </w:p>
        </w:tc>
        <w:tc>
          <w:tcPr>
            <w:tcW w:w="2126" w:type="dxa"/>
            <w:shd w:val="clear" w:color="auto" w:fill="D9D9D9" w:themeFill="background1" w:themeFillShade="D9"/>
          </w:tcPr>
          <w:p w14:paraId="7BCF4926" w14:textId="037675C2" w:rsidR="00B73BC2" w:rsidRPr="00EE14DB" w:rsidRDefault="00B73BC2" w:rsidP="00B73BC2">
            <w:pPr>
              <w:jc w:val="center"/>
            </w:pPr>
            <w:r w:rsidRPr="00EE14DB">
              <w:t>10</w:t>
            </w:r>
          </w:p>
        </w:tc>
      </w:tr>
      <w:tr w:rsidR="00B73BC2" w:rsidRPr="00EE14DB" w14:paraId="2EE6B6D6" w14:textId="77777777" w:rsidTr="004C3A81">
        <w:tc>
          <w:tcPr>
            <w:tcW w:w="5920" w:type="dxa"/>
          </w:tcPr>
          <w:p w14:paraId="6BEC24DA" w14:textId="11FBEE33" w:rsidR="00B73BC2" w:rsidRPr="00EE14DB" w:rsidRDefault="00327122" w:rsidP="0040777C">
            <w:pPr>
              <w:spacing w:line="276" w:lineRule="auto"/>
            </w:pPr>
            <w:r w:rsidRPr="00F455B8">
              <w:rPr>
                <w:lang w:val="mk-MK"/>
              </w:rPr>
              <w:t>Проектот е усогласен со и/или</w:t>
            </w:r>
            <w:r>
              <w:rPr>
                <w:lang w:val="mk-MK"/>
              </w:rPr>
              <w:t xml:space="preserve"> е</w:t>
            </w:r>
            <w:r w:rsidRPr="00F455B8">
              <w:rPr>
                <w:lang w:val="mk-MK"/>
              </w:rPr>
              <w:t xml:space="preserve"> дел од локална / </w:t>
            </w:r>
            <w:r w:rsidR="000641BA">
              <w:rPr>
                <w:lang w:val="mk-MK"/>
              </w:rPr>
              <w:t xml:space="preserve">регионална / </w:t>
            </w:r>
            <w:r w:rsidRPr="00F455B8">
              <w:rPr>
                <w:lang w:val="mk-MK"/>
              </w:rPr>
              <w:t>национална / ЕУ програма или стратегија</w:t>
            </w:r>
            <w:r w:rsidR="00B73BC2" w:rsidRPr="00EE14DB">
              <w:t>.</w:t>
            </w:r>
          </w:p>
        </w:tc>
        <w:tc>
          <w:tcPr>
            <w:tcW w:w="2126" w:type="dxa"/>
          </w:tcPr>
          <w:p w14:paraId="5D4EB0EF" w14:textId="729032F2" w:rsidR="00B73BC2" w:rsidRPr="00EE14DB" w:rsidRDefault="00B73BC2" w:rsidP="00B73BC2">
            <w:pPr>
              <w:spacing w:line="276" w:lineRule="auto"/>
              <w:jc w:val="center"/>
            </w:pPr>
            <w:r w:rsidRPr="00EE14DB">
              <w:t>5</w:t>
            </w:r>
          </w:p>
        </w:tc>
      </w:tr>
      <w:tr w:rsidR="00B73BC2" w:rsidRPr="00EE14DB" w14:paraId="33B6DD29" w14:textId="77777777" w:rsidTr="004C3A81">
        <w:tc>
          <w:tcPr>
            <w:tcW w:w="5920" w:type="dxa"/>
            <w:shd w:val="clear" w:color="auto" w:fill="D9D9D9" w:themeFill="background1" w:themeFillShade="D9"/>
          </w:tcPr>
          <w:p w14:paraId="64010CCD" w14:textId="7BE7DB44" w:rsidR="00B73BC2" w:rsidRPr="00327122" w:rsidRDefault="00327122" w:rsidP="0040777C">
            <w:pPr>
              <w:spacing w:line="276" w:lineRule="auto"/>
              <w:rPr>
                <w:lang w:val="mk-MK"/>
              </w:rPr>
            </w:pPr>
            <w:r w:rsidRPr="00F455B8">
              <w:rPr>
                <w:lang w:val="mk-MK"/>
              </w:rPr>
              <w:t xml:space="preserve">Проектот е </w:t>
            </w:r>
            <w:r>
              <w:rPr>
                <w:lang w:val="mk-MK"/>
              </w:rPr>
              <w:t xml:space="preserve">избран / усвоен на општински </w:t>
            </w:r>
            <w:r w:rsidRPr="00F455B8">
              <w:rPr>
                <w:lang w:val="mk-MK"/>
              </w:rPr>
              <w:t xml:space="preserve">форум </w:t>
            </w:r>
            <w:r>
              <w:rPr>
                <w:lang w:val="mk-MK"/>
              </w:rPr>
              <w:t xml:space="preserve">во </w:t>
            </w:r>
            <w:r w:rsidRPr="00F455B8">
              <w:rPr>
                <w:lang w:val="mk-MK"/>
              </w:rPr>
              <w:t>заедницата</w:t>
            </w:r>
            <w:r w:rsidRPr="00EE14DB">
              <w:t xml:space="preserve"> </w:t>
            </w:r>
            <w:r>
              <w:rPr>
                <w:lang w:val="mk-MK"/>
              </w:rPr>
              <w:t xml:space="preserve">или </w:t>
            </w:r>
            <w:r w:rsidR="000641BA">
              <w:rPr>
                <w:lang w:val="mk-MK"/>
              </w:rPr>
              <w:t xml:space="preserve">на </w:t>
            </w:r>
            <w:r>
              <w:rPr>
                <w:lang w:val="mk-MK"/>
              </w:rPr>
              <w:t>регионален форум.</w:t>
            </w:r>
          </w:p>
        </w:tc>
        <w:tc>
          <w:tcPr>
            <w:tcW w:w="2126" w:type="dxa"/>
            <w:shd w:val="clear" w:color="auto" w:fill="D9D9D9" w:themeFill="background1" w:themeFillShade="D9"/>
          </w:tcPr>
          <w:p w14:paraId="1755053E" w14:textId="77777777" w:rsidR="00B73BC2" w:rsidRPr="00EE14DB" w:rsidRDefault="00B73BC2" w:rsidP="00B73BC2">
            <w:pPr>
              <w:spacing w:line="276" w:lineRule="auto"/>
              <w:jc w:val="center"/>
            </w:pPr>
            <w:r w:rsidRPr="00EE14DB">
              <w:t>5</w:t>
            </w:r>
          </w:p>
        </w:tc>
      </w:tr>
      <w:tr w:rsidR="00B73BC2" w:rsidRPr="00EE14DB" w14:paraId="36CE7CED" w14:textId="77777777" w:rsidTr="004C3A81">
        <w:tc>
          <w:tcPr>
            <w:tcW w:w="5920" w:type="dxa"/>
          </w:tcPr>
          <w:p w14:paraId="094F4C3C" w14:textId="31034B0E" w:rsidR="00B73BC2" w:rsidRPr="00EE14DB" w:rsidRDefault="00327122" w:rsidP="00EE14DB">
            <w:pPr>
              <w:spacing w:line="276" w:lineRule="auto"/>
            </w:pPr>
            <w:r w:rsidRPr="00F455B8">
              <w:rPr>
                <w:lang w:val="mk-MK"/>
              </w:rPr>
              <w:t xml:space="preserve">Проектот придонесува </w:t>
            </w:r>
            <w:r w:rsidR="009011E7">
              <w:rPr>
                <w:lang w:val="mk-MK"/>
              </w:rPr>
              <w:t>за</w:t>
            </w:r>
            <w:r>
              <w:rPr>
                <w:lang w:val="mk-MK"/>
              </w:rPr>
              <w:t xml:space="preserve"> </w:t>
            </w:r>
            <w:r w:rsidRPr="00F455B8">
              <w:rPr>
                <w:lang w:val="mk-MK"/>
              </w:rPr>
              <w:t>остварување на една од Ц</w:t>
            </w:r>
            <w:r>
              <w:rPr>
                <w:lang w:val="mk-MK"/>
              </w:rPr>
              <w:t xml:space="preserve">елите за </w:t>
            </w:r>
            <w:r w:rsidRPr="00F455B8">
              <w:rPr>
                <w:lang w:val="mk-MK"/>
              </w:rPr>
              <w:t>о</w:t>
            </w:r>
            <w:r>
              <w:rPr>
                <w:lang w:val="mk-MK"/>
              </w:rPr>
              <w:t xml:space="preserve">држлив </w:t>
            </w:r>
            <w:r w:rsidRPr="00F455B8">
              <w:rPr>
                <w:lang w:val="mk-MK"/>
              </w:rPr>
              <w:t>р</w:t>
            </w:r>
            <w:r>
              <w:rPr>
                <w:lang w:val="mk-MK"/>
              </w:rPr>
              <w:t>азвој</w:t>
            </w:r>
            <w:r w:rsidRPr="00F455B8">
              <w:rPr>
                <w:lang w:val="mk-MK"/>
              </w:rPr>
              <w:t xml:space="preserve"> наведен</w:t>
            </w:r>
            <w:r>
              <w:rPr>
                <w:lang w:val="mk-MK"/>
              </w:rPr>
              <w:t>и</w:t>
            </w:r>
            <w:r w:rsidRPr="00F455B8">
              <w:rPr>
                <w:lang w:val="mk-MK"/>
              </w:rPr>
              <w:t xml:space="preserve"> во </w:t>
            </w:r>
            <w:r>
              <w:rPr>
                <w:lang w:val="mk-MK"/>
              </w:rPr>
              <w:t>Н</w:t>
            </w:r>
            <w:r w:rsidRPr="00F455B8">
              <w:rPr>
                <w:lang w:val="mk-MK"/>
              </w:rPr>
              <w:t>асоките за барателите</w:t>
            </w:r>
          </w:p>
        </w:tc>
        <w:tc>
          <w:tcPr>
            <w:tcW w:w="2126" w:type="dxa"/>
          </w:tcPr>
          <w:p w14:paraId="422C4136" w14:textId="20FF52D8" w:rsidR="00B73BC2" w:rsidRPr="00EE14DB" w:rsidRDefault="00B73BC2" w:rsidP="00B73BC2">
            <w:pPr>
              <w:spacing w:line="276" w:lineRule="auto"/>
              <w:jc w:val="center"/>
            </w:pPr>
            <w:r w:rsidRPr="00EE14DB">
              <w:t>5</w:t>
            </w:r>
          </w:p>
        </w:tc>
      </w:tr>
      <w:tr w:rsidR="00B73BC2" w:rsidRPr="00EE14DB" w14:paraId="2A2F1C71" w14:textId="77777777" w:rsidTr="004C3A81">
        <w:tc>
          <w:tcPr>
            <w:tcW w:w="5920" w:type="dxa"/>
            <w:shd w:val="clear" w:color="auto" w:fill="D9D9D9" w:themeFill="background1" w:themeFillShade="D9"/>
          </w:tcPr>
          <w:p w14:paraId="2A9B4E71" w14:textId="7C14CDCC" w:rsidR="00B73BC2" w:rsidRPr="00EE14DB" w:rsidRDefault="00327122" w:rsidP="0040777C">
            <w:pPr>
              <w:spacing w:line="276" w:lineRule="auto"/>
            </w:pPr>
            <w:r w:rsidRPr="00F455B8">
              <w:rPr>
                <w:lang w:val="mk-MK"/>
              </w:rPr>
              <w:t xml:space="preserve">Проектот </w:t>
            </w:r>
            <w:r>
              <w:rPr>
                <w:lang w:val="mk-MK"/>
              </w:rPr>
              <w:t xml:space="preserve">јасно го отсликува влијанието врз родовите прашања (одговарајќи на потребите и на жените и на мажите) и </w:t>
            </w:r>
            <w:r w:rsidRPr="00F455B8">
              <w:rPr>
                <w:lang w:val="mk-MK"/>
              </w:rPr>
              <w:t>се осврнува на потребите на ранливите групи</w:t>
            </w:r>
            <w:r>
              <w:rPr>
                <w:lang w:val="mk-MK"/>
              </w:rPr>
              <w:t>.</w:t>
            </w:r>
          </w:p>
        </w:tc>
        <w:tc>
          <w:tcPr>
            <w:tcW w:w="2126" w:type="dxa"/>
            <w:shd w:val="clear" w:color="auto" w:fill="D9D9D9" w:themeFill="background1" w:themeFillShade="D9"/>
          </w:tcPr>
          <w:p w14:paraId="231CFD53" w14:textId="7E19F5B7" w:rsidR="00B73BC2" w:rsidRPr="00EE14DB" w:rsidRDefault="00B73BC2" w:rsidP="00B73BC2">
            <w:pPr>
              <w:spacing w:line="276" w:lineRule="auto"/>
              <w:jc w:val="center"/>
            </w:pPr>
            <w:r w:rsidRPr="00EE14DB">
              <w:t>5</w:t>
            </w:r>
          </w:p>
        </w:tc>
      </w:tr>
    </w:tbl>
    <w:p w14:paraId="724C774E" w14:textId="77777777" w:rsidR="00121CAA" w:rsidRDefault="00121CAA" w:rsidP="00B73BC2"/>
    <w:p w14:paraId="3F777F89" w14:textId="69F1999F" w:rsidR="00B73BC2" w:rsidRPr="00EE14DB" w:rsidRDefault="003543DE" w:rsidP="00B73BC2">
      <w:r>
        <w:t>4</w:t>
      </w:r>
      <w:r w:rsidR="00B73BC2" w:rsidRPr="00EE14DB">
        <w:t xml:space="preserve">. </w:t>
      </w:r>
      <w:r w:rsidR="00327122" w:rsidRPr="00050BD9">
        <w:rPr>
          <w:lang w:val="mk-MK"/>
        </w:rPr>
        <w:t>ОДРЖЛИВОСТ НА ПРОЕКТОТ (Максимални можни поени: 30)</w:t>
      </w:r>
    </w:p>
    <w:tbl>
      <w:tblPr>
        <w:tblStyle w:val="TableGrid"/>
        <w:tblW w:w="0" w:type="auto"/>
        <w:tblLook w:val="04A0" w:firstRow="1" w:lastRow="0" w:firstColumn="1" w:lastColumn="0" w:noHBand="0" w:noVBand="1"/>
      </w:tblPr>
      <w:tblGrid>
        <w:gridCol w:w="5920"/>
        <w:gridCol w:w="2126"/>
      </w:tblGrid>
      <w:tr w:rsidR="00263E9D" w:rsidRPr="00EE14DB" w14:paraId="1DEE5D22" w14:textId="77777777" w:rsidTr="004C3A81">
        <w:tc>
          <w:tcPr>
            <w:tcW w:w="5920" w:type="dxa"/>
          </w:tcPr>
          <w:p w14:paraId="66649278" w14:textId="3844EF9E" w:rsidR="00263E9D" w:rsidRPr="00EE14DB" w:rsidRDefault="00263E9D" w:rsidP="00263E9D">
            <w:r w:rsidRPr="00F455B8">
              <w:rPr>
                <w:lang w:val="mk-MK"/>
              </w:rPr>
              <w:t>КРИТЕРИУМ</w:t>
            </w:r>
          </w:p>
        </w:tc>
        <w:tc>
          <w:tcPr>
            <w:tcW w:w="2126" w:type="dxa"/>
          </w:tcPr>
          <w:p w14:paraId="3B53EE6B" w14:textId="46428FFB" w:rsidR="00263E9D" w:rsidRPr="00EE14DB" w:rsidRDefault="00263E9D" w:rsidP="00263E9D">
            <w:pPr>
              <w:jc w:val="center"/>
            </w:pPr>
            <w:r w:rsidRPr="00F455B8">
              <w:rPr>
                <w:lang w:val="mk-MK"/>
              </w:rPr>
              <w:t>Максимален број поени што можат да се добијат</w:t>
            </w:r>
          </w:p>
        </w:tc>
      </w:tr>
      <w:tr w:rsidR="003543DE" w:rsidRPr="00EE14DB" w14:paraId="7F6DEA00" w14:textId="77777777" w:rsidTr="00B73BC2">
        <w:tc>
          <w:tcPr>
            <w:tcW w:w="5920" w:type="dxa"/>
            <w:shd w:val="clear" w:color="auto" w:fill="D9D9D9" w:themeFill="background1" w:themeFillShade="D9"/>
          </w:tcPr>
          <w:p w14:paraId="7B14B177" w14:textId="36C4FB30" w:rsidR="003543DE" w:rsidRDefault="00327122" w:rsidP="00B73BC2">
            <w:r>
              <w:rPr>
                <w:lang w:val="mk-MK"/>
              </w:rPr>
              <w:t>Проектот поседува јасен потенцијал да мобилизира дополнителни средства во иднина.</w:t>
            </w:r>
          </w:p>
        </w:tc>
        <w:tc>
          <w:tcPr>
            <w:tcW w:w="2126" w:type="dxa"/>
            <w:shd w:val="clear" w:color="auto" w:fill="D9D9D9" w:themeFill="background1" w:themeFillShade="D9"/>
          </w:tcPr>
          <w:p w14:paraId="63E9123F" w14:textId="4038B804" w:rsidR="003543DE" w:rsidRDefault="00DB2F04" w:rsidP="00B73BC2">
            <w:pPr>
              <w:jc w:val="center"/>
            </w:pPr>
            <w:r>
              <w:t>1</w:t>
            </w:r>
            <w:r w:rsidR="00CB3307">
              <w:t>5</w:t>
            </w:r>
          </w:p>
        </w:tc>
      </w:tr>
      <w:tr w:rsidR="00CB3307" w:rsidRPr="00EE14DB" w14:paraId="3C53931E" w14:textId="77777777" w:rsidTr="004C3A81">
        <w:tc>
          <w:tcPr>
            <w:tcW w:w="5920" w:type="dxa"/>
            <w:shd w:val="clear" w:color="auto" w:fill="D9D9D9" w:themeFill="background1" w:themeFillShade="D9"/>
          </w:tcPr>
          <w:p w14:paraId="5A337950" w14:textId="571518DB" w:rsidR="00CB3307" w:rsidRPr="00EE14DB" w:rsidRDefault="00327122" w:rsidP="00F171B0">
            <w:r w:rsidRPr="00F455B8">
              <w:rPr>
                <w:lang w:val="mk-MK"/>
              </w:rPr>
              <w:t>Проектот јасно се осврнува на прашања за одржливоста на планираната инфраструктурна интервенција</w:t>
            </w:r>
            <w:r>
              <w:rPr>
                <w:lang w:val="mk-MK"/>
              </w:rPr>
              <w:t>.</w:t>
            </w:r>
          </w:p>
        </w:tc>
        <w:tc>
          <w:tcPr>
            <w:tcW w:w="2126" w:type="dxa"/>
            <w:shd w:val="clear" w:color="auto" w:fill="D9D9D9" w:themeFill="background1" w:themeFillShade="D9"/>
          </w:tcPr>
          <w:p w14:paraId="03C1C948" w14:textId="018D1802" w:rsidR="00CB3307" w:rsidRPr="00EE14DB" w:rsidRDefault="00CB3307" w:rsidP="00F171B0">
            <w:pPr>
              <w:jc w:val="center"/>
            </w:pPr>
            <w:r>
              <w:t>10</w:t>
            </w:r>
          </w:p>
        </w:tc>
      </w:tr>
      <w:tr w:rsidR="00643611" w:rsidRPr="00EE14DB" w14:paraId="6E006E5D" w14:textId="77777777" w:rsidTr="00B73BC2">
        <w:tc>
          <w:tcPr>
            <w:tcW w:w="5920" w:type="dxa"/>
            <w:shd w:val="clear" w:color="auto" w:fill="D9D9D9" w:themeFill="background1" w:themeFillShade="D9"/>
          </w:tcPr>
          <w:p w14:paraId="2DD8C07E" w14:textId="10343CEB" w:rsidR="00643611" w:rsidRPr="00327122" w:rsidRDefault="00327122" w:rsidP="00517FC0">
            <w:pPr>
              <w:rPr>
                <w:lang w:val="mk-MK"/>
              </w:rPr>
            </w:pPr>
            <w:r>
              <w:rPr>
                <w:lang w:val="mk-MK"/>
              </w:rPr>
              <w:t>Општината/Регионалниот центар се согласува да го кофинансира проектот.</w:t>
            </w:r>
          </w:p>
        </w:tc>
        <w:tc>
          <w:tcPr>
            <w:tcW w:w="2126" w:type="dxa"/>
            <w:shd w:val="clear" w:color="auto" w:fill="D9D9D9" w:themeFill="background1" w:themeFillShade="D9"/>
          </w:tcPr>
          <w:p w14:paraId="6F5D6BE0" w14:textId="0E59D192" w:rsidR="00643611" w:rsidRPr="00EE14DB" w:rsidRDefault="00DB2F04" w:rsidP="00B73BC2">
            <w:pPr>
              <w:jc w:val="center"/>
            </w:pPr>
            <w:r>
              <w:t>5</w:t>
            </w:r>
          </w:p>
        </w:tc>
      </w:tr>
    </w:tbl>
    <w:p w14:paraId="4124B8E8" w14:textId="77777777" w:rsidR="006D5EEF" w:rsidRDefault="006D5EEF" w:rsidP="006D5EEF"/>
    <w:p w14:paraId="68A3D627" w14:textId="1D1233DD" w:rsidR="000641BA" w:rsidRPr="00CB678F" w:rsidRDefault="000641BA" w:rsidP="00CB678F">
      <w:pPr>
        <w:pStyle w:val="BodyText2"/>
        <w:jc w:val="both"/>
        <w:rPr>
          <w:lang w:val="en-US"/>
        </w:rPr>
      </w:pPr>
      <w:r w:rsidRPr="000641BA">
        <w:t>Одржливоста на проектот и одржувањето на проектот се два различни поими. Барателите мораат јасно да го образложат аспектот на одржливоста.</w:t>
      </w:r>
    </w:p>
    <w:p w14:paraId="029C4398" w14:textId="77777777" w:rsidR="000641BA" w:rsidRDefault="000641BA" w:rsidP="004A70A1">
      <w:pPr>
        <w:rPr>
          <w:lang w:val="mk-MK"/>
        </w:rPr>
      </w:pPr>
    </w:p>
    <w:p w14:paraId="239D61A6" w14:textId="705B88CE" w:rsidR="00121CAA" w:rsidRPr="004A70A1" w:rsidRDefault="004A70A1" w:rsidP="00CB678F">
      <w:pPr>
        <w:pStyle w:val="BodyText"/>
      </w:pPr>
      <w:r w:rsidRPr="004A70A1">
        <w:t>Откако ќе се евалуираат и оценат сите пријави, ќе се примени дополнително начело на приоритет согласно следниов редослед на приоритети:</w:t>
      </w:r>
    </w:p>
    <w:p w14:paraId="67B7DD97" w14:textId="2714DE6C" w:rsidR="00121CAA" w:rsidRPr="004A70A1" w:rsidRDefault="00121CAA" w:rsidP="00CB678F">
      <w:pPr>
        <w:jc w:val="both"/>
      </w:pPr>
      <w:r>
        <w:t xml:space="preserve">1. </w:t>
      </w:r>
      <w:r w:rsidR="004A70A1" w:rsidRPr="004A70A1">
        <w:rPr>
          <w:lang w:val="mk-MK"/>
        </w:rPr>
        <w:t xml:space="preserve">Општините, партнерствата и регионалните центри што не се пријавиле или </w:t>
      </w:r>
      <w:r w:rsidR="000641BA">
        <w:rPr>
          <w:lang w:val="mk-MK"/>
        </w:rPr>
        <w:t xml:space="preserve">не им биле доделени средства во </w:t>
      </w:r>
      <w:r w:rsidR="004A70A1" w:rsidRPr="004A70A1">
        <w:rPr>
          <w:lang w:val="mk-MK"/>
        </w:rPr>
        <w:t>Првиот повик;</w:t>
      </w:r>
    </w:p>
    <w:p w14:paraId="5C470ACD" w14:textId="66A59525" w:rsidR="00121CAA" w:rsidRPr="004A70A1" w:rsidRDefault="00121CAA" w:rsidP="004A70A1">
      <w:r>
        <w:t xml:space="preserve">2. </w:t>
      </w:r>
      <w:r w:rsidR="004A70A1" w:rsidRPr="004A70A1">
        <w:rPr>
          <w:lang w:val="mk-MK"/>
        </w:rPr>
        <w:t xml:space="preserve">Општините и партнерствата на кои им биле доделени средства </w:t>
      </w:r>
      <w:r w:rsidR="009011E7">
        <w:rPr>
          <w:lang w:val="mk-MK"/>
        </w:rPr>
        <w:t>во</w:t>
      </w:r>
      <w:r w:rsidR="004A70A1" w:rsidRPr="004A70A1">
        <w:rPr>
          <w:lang w:val="mk-MK"/>
        </w:rPr>
        <w:t xml:space="preserve"> Првиот повик.</w:t>
      </w:r>
    </w:p>
    <w:p w14:paraId="4D87905B" w14:textId="77777777" w:rsidR="00121CAA" w:rsidRDefault="00121CAA" w:rsidP="00121CAA"/>
    <w:p w14:paraId="2152F0FF" w14:textId="2E26A451" w:rsidR="00121CAA" w:rsidRPr="004A70A1" w:rsidRDefault="004A70A1" w:rsidP="00CB678F">
      <w:pPr>
        <w:jc w:val="both"/>
      </w:pPr>
      <w:r w:rsidRPr="004A70A1">
        <w:rPr>
          <w:lang w:val="mk-MK"/>
        </w:rPr>
        <w:lastRenderedPageBreak/>
        <w:t>Оние што ѝ припаѓаат на втората група според редоследот на приоритети ќе може да доби</w:t>
      </w:r>
      <w:r w:rsidR="009011E7">
        <w:rPr>
          <w:lang w:val="mk-MK"/>
        </w:rPr>
        <w:t>јат</w:t>
      </w:r>
      <w:r w:rsidRPr="004A70A1">
        <w:rPr>
          <w:lang w:val="mk-MK"/>
        </w:rPr>
        <w:t xml:space="preserve"> средства само откако </w:t>
      </w:r>
      <w:r w:rsidR="009011E7">
        <w:rPr>
          <w:lang w:val="mk-MK"/>
        </w:rPr>
        <w:t xml:space="preserve">ќе </w:t>
      </w:r>
      <w:r w:rsidRPr="004A70A1">
        <w:rPr>
          <w:lang w:val="mk-MK"/>
        </w:rPr>
        <w:t>ѝ би</w:t>
      </w:r>
      <w:r w:rsidR="009011E7">
        <w:rPr>
          <w:lang w:val="mk-MK"/>
        </w:rPr>
        <w:t>дат</w:t>
      </w:r>
      <w:r w:rsidRPr="004A70A1">
        <w:rPr>
          <w:lang w:val="mk-MK"/>
        </w:rPr>
        <w:t xml:space="preserve"> доделени средства на првата група.</w:t>
      </w:r>
    </w:p>
    <w:p w14:paraId="0C227EA4" w14:textId="77777777" w:rsidR="00121CAA" w:rsidRDefault="00121CAA" w:rsidP="006D5EEF"/>
    <w:p w14:paraId="1370781D" w14:textId="7B8A2DC2" w:rsidR="006D5EEF" w:rsidRPr="00EE14DB" w:rsidRDefault="004A70A1" w:rsidP="00CB678F">
      <w:pPr>
        <w:jc w:val="both"/>
      </w:pPr>
      <w:r w:rsidRPr="004A70A1">
        <w:rPr>
          <w:lang w:val="mk-MK"/>
        </w:rPr>
        <w:t>Резултатите од процесот на евалуација ќе бидат објавени на веб страницата на Проектот и директно ќе бидат известени избраните баратели.</w:t>
      </w:r>
      <w:r w:rsidR="006D5EEF" w:rsidRPr="004A70A1">
        <w:t xml:space="preserve"> </w:t>
      </w:r>
    </w:p>
    <w:p w14:paraId="5CBCABF4" w14:textId="3DD4940B" w:rsidR="006D5EEF" w:rsidRDefault="006D5EEF" w:rsidP="006D5EEF"/>
    <w:p w14:paraId="1F405213" w14:textId="77777777" w:rsidR="003D0A08" w:rsidRDefault="003D0A08" w:rsidP="006D5EEF"/>
    <w:p w14:paraId="4D1D8B0D" w14:textId="7F0A5B57" w:rsidR="006D5EEF" w:rsidRPr="004A70A1" w:rsidRDefault="004A70A1" w:rsidP="004A70A1">
      <w:pPr>
        <w:rPr>
          <w:b/>
        </w:rPr>
      </w:pPr>
      <w:r w:rsidRPr="004A70A1">
        <w:rPr>
          <w:b/>
          <w:lang w:val="mk-MK"/>
        </w:rPr>
        <w:t>2.4. ДОДЕЛУВАЊЕ НА ФИНАНСИСКИ СРЕДСТВА И ДОГОВОРИ ЗА СПРОВЕДУВАЊЕ</w:t>
      </w:r>
    </w:p>
    <w:p w14:paraId="016C62A5" w14:textId="019961D9" w:rsidR="006D5EEF" w:rsidRPr="006D5EEF" w:rsidRDefault="006D5EEF" w:rsidP="006D5EEF">
      <w:pPr>
        <w:rPr>
          <w:b/>
        </w:rPr>
      </w:pPr>
    </w:p>
    <w:p w14:paraId="3610FD27" w14:textId="4B5F2026" w:rsidR="006D5EEF" w:rsidRDefault="004A70A1" w:rsidP="004A70A1">
      <w:pPr>
        <w:rPr>
          <w:b/>
        </w:rPr>
      </w:pPr>
      <w:r w:rsidRPr="004A70A1">
        <w:rPr>
          <w:b/>
          <w:lang w:val="mk-MK"/>
        </w:rPr>
        <w:t>2.4.1. Писма за договор, договори</w:t>
      </w:r>
      <w:r w:rsidR="006D5EEF" w:rsidRPr="004A70A1">
        <w:rPr>
          <w:b/>
        </w:rPr>
        <w:tab/>
      </w:r>
    </w:p>
    <w:p w14:paraId="44CC9743" w14:textId="77777777" w:rsidR="006D5EEF" w:rsidRDefault="006D5EEF" w:rsidP="006D5EEF">
      <w:pPr>
        <w:rPr>
          <w:b/>
        </w:rPr>
      </w:pPr>
    </w:p>
    <w:p w14:paraId="77D3BF53" w14:textId="5039FA41" w:rsidR="006D5EEF" w:rsidRPr="004A70A1" w:rsidRDefault="004A70A1" w:rsidP="004A70A1">
      <w:pPr>
        <w:jc w:val="both"/>
      </w:pPr>
      <w:r w:rsidRPr="004A70A1">
        <w:rPr>
          <w:lang w:val="mk-MK"/>
        </w:rPr>
        <w:t xml:space="preserve">Со секоја избрана општина/регионален центар УНДП ќе потпише Меморандум за соработка со кој ќе се уредат взаемните права и обврски меѓу УНДП и </w:t>
      </w:r>
      <w:r w:rsidR="009011E7">
        <w:rPr>
          <w:lang w:val="mk-MK"/>
        </w:rPr>
        <w:t>корисникот</w:t>
      </w:r>
      <w:r w:rsidRPr="004A70A1">
        <w:rPr>
          <w:lang w:val="mk-MK"/>
        </w:rPr>
        <w:t>, и тоа откако преку процесот за набавки ќе се утврди точниот износ на секој договор.</w:t>
      </w:r>
      <w:r w:rsidR="006D5EEF" w:rsidRPr="004A70A1">
        <w:t xml:space="preserve"> </w:t>
      </w:r>
      <w:r w:rsidRPr="004A70A1">
        <w:rPr>
          <w:lang w:val="mk-MK"/>
        </w:rPr>
        <w:t>После формирањето на ранг листата, УНДП ќе спроведе набавка на бараните услуги, и договорите ќе бидат доделени до максималните достапни средства за овој Повик за предлози.</w:t>
      </w:r>
    </w:p>
    <w:p w14:paraId="115FD921" w14:textId="6DE46358" w:rsidR="00132AEA" w:rsidRPr="004A70A1" w:rsidRDefault="004A70A1" w:rsidP="004A70A1">
      <w:pPr>
        <w:jc w:val="both"/>
      </w:pPr>
      <w:r w:rsidRPr="004A70A1">
        <w:rPr>
          <w:lang w:val="mk-MK"/>
        </w:rPr>
        <w:t>Во случаите кога е потребно кофинансирање, договорите за споделување на трошоци</w:t>
      </w:r>
      <w:r w:rsidR="009011E7">
        <w:rPr>
          <w:lang w:val="mk-MK"/>
        </w:rPr>
        <w:t xml:space="preserve"> со корисниците</w:t>
      </w:r>
      <w:r w:rsidRPr="004A70A1">
        <w:rPr>
          <w:lang w:val="mk-MK"/>
        </w:rPr>
        <w:t xml:space="preserve"> ќе треба да бидат потпишани пред договорите со давателите на услуги.</w:t>
      </w:r>
    </w:p>
    <w:p w14:paraId="251971C6" w14:textId="6D921D50" w:rsidR="00132AEA" w:rsidRPr="004A70A1" w:rsidRDefault="004A70A1" w:rsidP="004A70A1">
      <w:pPr>
        <w:jc w:val="both"/>
      </w:pPr>
      <w:r w:rsidRPr="004A70A1">
        <w:rPr>
          <w:lang w:val="mk-MK"/>
        </w:rPr>
        <w:t>Во случаите каде финансиски средства се доделуваат за проекти коишто се пријавени од повеќе од една општина, Меморандумот за разбирање ќе биде потпишан од сите општини што учествуваат во таквото партнерство.</w:t>
      </w:r>
      <w:r w:rsidR="00A205BC" w:rsidRPr="004A70A1">
        <w:t xml:space="preserve"> </w:t>
      </w:r>
      <w:r w:rsidRPr="004A70A1">
        <w:rPr>
          <w:lang w:val="mk-MK"/>
        </w:rPr>
        <w:t xml:space="preserve">За проектите со кои </w:t>
      </w:r>
      <w:r w:rsidR="00C50996">
        <w:rPr>
          <w:lang w:val="mk-MK"/>
        </w:rPr>
        <w:t>се пријавуваат</w:t>
      </w:r>
      <w:r w:rsidRPr="004A70A1">
        <w:rPr>
          <w:lang w:val="mk-MK"/>
        </w:rPr>
        <w:t xml:space="preserve"> Регионалните центри, без разлика на бројот на општини на чија територија проектите се планирани, само еден таков Договор ќе биде потпишан со Регионалните центри со кој ќе се уреди дека тие ги преземаат сите обврски за понатамошните активности поврзани со техничката документација во прашање.</w:t>
      </w:r>
    </w:p>
    <w:p w14:paraId="5C2E87E7" w14:textId="77777777" w:rsidR="006D5EEF" w:rsidRPr="006D5EEF" w:rsidRDefault="006D5EEF" w:rsidP="006D5EEF">
      <w:pPr>
        <w:rPr>
          <w:b/>
        </w:rPr>
      </w:pPr>
    </w:p>
    <w:p w14:paraId="002093FF" w14:textId="66AB8DAA" w:rsidR="006D5EEF" w:rsidRPr="004A70A1" w:rsidRDefault="004A70A1" w:rsidP="004A70A1">
      <w:pPr>
        <w:rPr>
          <w:b/>
        </w:rPr>
      </w:pPr>
      <w:r w:rsidRPr="004A70A1">
        <w:rPr>
          <w:b/>
          <w:lang w:val="mk-MK"/>
        </w:rPr>
        <w:t xml:space="preserve">2.4.2. Спроведување: обврски за </w:t>
      </w:r>
      <w:r w:rsidR="00C50996">
        <w:rPr>
          <w:b/>
          <w:lang w:val="mk-MK"/>
        </w:rPr>
        <w:t>барателите</w:t>
      </w:r>
      <w:r w:rsidRPr="004A70A1">
        <w:rPr>
          <w:b/>
          <w:lang w:val="mk-MK"/>
        </w:rPr>
        <w:t>, поднесување извештаи, мониторинг</w:t>
      </w:r>
    </w:p>
    <w:p w14:paraId="7CDA4066" w14:textId="77777777" w:rsidR="00132AEA" w:rsidRDefault="00132AEA" w:rsidP="006D5EEF">
      <w:pPr>
        <w:rPr>
          <w:b/>
        </w:rPr>
      </w:pPr>
    </w:p>
    <w:p w14:paraId="5BE5940C" w14:textId="2B4469D5" w:rsidR="00132AEA" w:rsidRPr="004A70A1" w:rsidRDefault="001953E9" w:rsidP="004A70A1">
      <w:pPr>
        <w:jc w:val="both"/>
      </w:pPr>
      <w:r>
        <w:rPr>
          <w:lang w:val="mk-MK"/>
        </w:rPr>
        <w:t>Секој успешен барател ќе мора да обезбеди</w:t>
      </w:r>
      <w:r w:rsidR="004A70A1" w:rsidRPr="004A70A1">
        <w:rPr>
          <w:lang w:val="mk-MK"/>
        </w:rPr>
        <w:t xml:space="preserve"> барем едно квалификувано лице </w:t>
      </w:r>
      <w:r>
        <w:rPr>
          <w:lang w:val="mk-MK"/>
        </w:rPr>
        <w:t>кое ќе биде</w:t>
      </w:r>
      <w:r w:rsidR="004A70A1" w:rsidRPr="004A70A1">
        <w:rPr>
          <w:lang w:val="mk-MK"/>
        </w:rPr>
        <w:t xml:space="preserve"> назначено како лице за контакт и за давателите на услуги (инженери, архитекти, и сл.) и за персоналот за мониторинг од УНДП, вклучително и инженерот на УНДП.</w:t>
      </w:r>
      <w:r w:rsidR="00025F42" w:rsidRPr="004A70A1">
        <w:t xml:space="preserve"> </w:t>
      </w:r>
      <w:r w:rsidR="004A70A1" w:rsidRPr="004A70A1">
        <w:rPr>
          <w:lang w:val="mk-MK"/>
        </w:rPr>
        <w:t>Ова лице треба да може да ги обезбеди неопходните информации, документација и целата друга поддршка на давателите на услуги во извршувањето на нивните задачи.</w:t>
      </w:r>
    </w:p>
    <w:p w14:paraId="116D767D" w14:textId="7104BF82" w:rsidR="00AA4206" w:rsidRDefault="00AA4206" w:rsidP="00AA4206">
      <w:pPr>
        <w:jc w:val="both"/>
      </w:pPr>
    </w:p>
    <w:p w14:paraId="2C4D6BFD" w14:textId="56F88048" w:rsidR="00AA4206" w:rsidRPr="004A70A1" w:rsidRDefault="004A70A1" w:rsidP="004A70A1">
      <w:pPr>
        <w:jc w:val="both"/>
      </w:pPr>
      <w:r w:rsidRPr="004A70A1">
        <w:rPr>
          <w:lang w:val="mk-MK"/>
        </w:rPr>
        <w:t>Набљудувањето на целиот процес ќе го врши проектниот персонал на УНДП со помош од инженерот на УНДП.</w:t>
      </w:r>
    </w:p>
    <w:p w14:paraId="313487DA" w14:textId="77777777" w:rsidR="00AA4206" w:rsidRDefault="00AA4206" w:rsidP="00AA4206">
      <w:pPr>
        <w:jc w:val="both"/>
      </w:pPr>
    </w:p>
    <w:p w14:paraId="474C7FDA" w14:textId="165E40C5" w:rsidR="00AA4206" w:rsidRPr="004A70A1" w:rsidRDefault="004A70A1" w:rsidP="004A70A1">
      <w:pPr>
        <w:jc w:val="both"/>
      </w:pPr>
      <w:r w:rsidRPr="004A70A1">
        <w:rPr>
          <w:lang w:val="mk-MK"/>
        </w:rPr>
        <w:t>Во случаи кога ќе се утврдат сериозни повреди на условите од договорот (Договор за споделување трошоци ...), УНДП го задржува правото да го раскине договорот и ако е можно да ги пренамени средствата за друг проект / барател.</w:t>
      </w:r>
    </w:p>
    <w:p w14:paraId="5CD196E0" w14:textId="77777777" w:rsidR="00AA4206" w:rsidRDefault="00AA4206" w:rsidP="00AA4206">
      <w:pPr>
        <w:jc w:val="both"/>
      </w:pPr>
    </w:p>
    <w:p w14:paraId="3D6D492C" w14:textId="7BC3E71B" w:rsidR="004F1F42" w:rsidRPr="005D448E" w:rsidRDefault="004A70A1" w:rsidP="005D448E">
      <w:pPr>
        <w:jc w:val="both"/>
        <w:rPr>
          <w:b/>
          <w:bCs/>
          <w:lang w:val="mk-MK"/>
        </w:rPr>
      </w:pPr>
      <w:r w:rsidRPr="004A70A1">
        <w:rPr>
          <w:lang w:val="mk-MK"/>
        </w:rPr>
        <w:t>По завршувањето на задачите и испорачувањето на финалниот производ – пакетот техничка документација за проектот; трансферот на сопственоста на конечниот производ ќе се спроведе согласно стандардните процедури на УНДП.</w:t>
      </w:r>
    </w:p>
    <w:sectPr w:rsidR="004F1F42" w:rsidRPr="005D448E" w:rsidSect="004C3A81">
      <w:headerReference w:type="default" r:id="rId15"/>
      <w:footerReference w:type="default" r:id="rId16"/>
      <w:pgSz w:w="11906" w:h="16838"/>
      <w:pgMar w:top="212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AD58" w16cex:dateUtc="2020-06-05T09:39:00Z"/>
  <w16cex:commentExtensible w16cex:durableId="2284AE55" w16cex:dateUtc="2020-06-05T09: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855B0" w14:textId="77777777" w:rsidR="00791584" w:rsidRDefault="00791584">
      <w:pPr>
        <w:spacing w:line="240" w:lineRule="auto"/>
      </w:pPr>
      <w:r>
        <w:separator/>
      </w:r>
    </w:p>
  </w:endnote>
  <w:endnote w:type="continuationSeparator" w:id="0">
    <w:p w14:paraId="4E0F4B08" w14:textId="77777777" w:rsidR="00791584" w:rsidRDefault="00791584">
      <w:pPr>
        <w:spacing w:line="240" w:lineRule="auto"/>
      </w:pPr>
      <w:r>
        <w:continuationSeparator/>
      </w:r>
    </w:p>
  </w:endnote>
  <w:endnote w:type="continuationNotice" w:id="1">
    <w:p w14:paraId="0DA658FC" w14:textId="77777777" w:rsidR="00791584" w:rsidRDefault="007915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44041"/>
      <w:docPartObj>
        <w:docPartGallery w:val="Page Numbers (Bottom of Page)"/>
        <w:docPartUnique/>
      </w:docPartObj>
    </w:sdtPr>
    <w:sdtEndPr>
      <w:rPr>
        <w:noProof/>
      </w:rPr>
    </w:sdtEndPr>
    <w:sdtContent>
      <w:p w14:paraId="0D8CB31F" w14:textId="77777777" w:rsidR="003D0A08" w:rsidRDefault="003D0A0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9C058D8" w14:textId="77777777" w:rsidR="003D0A08" w:rsidRDefault="003D0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18B50" w14:textId="77777777" w:rsidR="00791584" w:rsidRDefault="00791584">
      <w:pPr>
        <w:spacing w:line="240" w:lineRule="auto"/>
      </w:pPr>
      <w:r>
        <w:separator/>
      </w:r>
    </w:p>
  </w:footnote>
  <w:footnote w:type="continuationSeparator" w:id="0">
    <w:p w14:paraId="2905D83D" w14:textId="77777777" w:rsidR="00791584" w:rsidRDefault="00791584">
      <w:pPr>
        <w:spacing w:line="240" w:lineRule="auto"/>
      </w:pPr>
      <w:r>
        <w:continuationSeparator/>
      </w:r>
    </w:p>
  </w:footnote>
  <w:footnote w:type="continuationNotice" w:id="1">
    <w:p w14:paraId="60ECD0C7" w14:textId="77777777" w:rsidR="00791584" w:rsidRDefault="00791584">
      <w:pPr>
        <w:spacing w:line="240" w:lineRule="auto"/>
      </w:pPr>
    </w:p>
  </w:footnote>
  <w:footnote w:id="2">
    <w:p w14:paraId="7671926B" w14:textId="77777777" w:rsidR="003D0A08" w:rsidRDefault="003D0A08" w:rsidP="00A82375">
      <w:r>
        <w:rPr>
          <w:rStyle w:val="FootnoteReference"/>
        </w:rPr>
        <w:footnoteRef/>
      </w:r>
      <w:r>
        <w:t xml:space="preserve"> </w:t>
      </w:r>
      <w:r>
        <w:rPr>
          <w:sz w:val="18"/>
          <w:szCs w:val="18"/>
          <w:lang w:val="mk-MK"/>
        </w:rPr>
        <w:t>Програмирање</w:t>
      </w:r>
      <w:r w:rsidRPr="009F6FAD">
        <w:rPr>
          <w:sz w:val="18"/>
          <w:szCs w:val="18"/>
        </w:rPr>
        <w:t>→</w:t>
      </w:r>
      <w:r>
        <w:rPr>
          <w:sz w:val="18"/>
          <w:szCs w:val="18"/>
          <w:lang w:val="mk-MK"/>
        </w:rPr>
        <w:t>Идентификација</w:t>
      </w:r>
      <w:r w:rsidRPr="009F6FAD">
        <w:rPr>
          <w:sz w:val="18"/>
          <w:szCs w:val="18"/>
        </w:rPr>
        <w:t>→</w:t>
      </w:r>
      <w:r>
        <w:rPr>
          <w:sz w:val="18"/>
          <w:szCs w:val="18"/>
          <w:lang w:val="mk-MK"/>
        </w:rPr>
        <w:t>формулирање</w:t>
      </w:r>
      <w:r w:rsidRPr="009F6FAD">
        <w:rPr>
          <w:sz w:val="18"/>
          <w:szCs w:val="18"/>
        </w:rPr>
        <w:t>→</w:t>
      </w:r>
      <w:r>
        <w:rPr>
          <w:sz w:val="18"/>
          <w:szCs w:val="18"/>
          <w:lang w:val="mk-MK"/>
        </w:rPr>
        <w:t>Финансирање</w:t>
      </w:r>
      <w:r w:rsidRPr="009F6FAD">
        <w:rPr>
          <w:sz w:val="18"/>
          <w:szCs w:val="18"/>
        </w:rPr>
        <w:t>→</w:t>
      </w:r>
      <w:r>
        <w:rPr>
          <w:sz w:val="18"/>
          <w:szCs w:val="18"/>
          <w:lang w:val="mk-MK"/>
        </w:rPr>
        <w:t>Спроведување</w:t>
      </w:r>
      <w:r w:rsidRPr="009F6FAD">
        <w:rPr>
          <w:sz w:val="18"/>
          <w:szCs w:val="18"/>
        </w:rPr>
        <w:t>→</w:t>
      </w:r>
      <w:r>
        <w:rPr>
          <w:sz w:val="18"/>
          <w:szCs w:val="18"/>
          <w:lang w:val="mk-MK"/>
        </w:rPr>
        <w:t>Евалуација</w:t>
      </w:r>
      <w:r w:rsidRPr="009F6FAD">
        <w:rPr>
          <w:sz w:val="18"/>
          <w:szCs w:val="18"/>
        </w:rPr>
        <w:t>→ (</w:t>
      </w:r>
      <w:r>
        <w:rPr>
          <w:sz w:val="18"/>
          <w:szCs w:val="18"/>
          <w:lang w:val="mk-MK"/>
        </w:rPr>
        <w:t>во круг</w:t>
      </w:r>
      <w:r w:rsidRPr="009F6FAD">
        <w:rPr>
          <w:sz w:val="18"/>
          <w:szCs w:val="18"/>
        </w:rPr>
        <w:t>)</w:t>
      </w:r>
    </w:p>
  </w:footnote>
  <w:footnote w:id="3">
    <w:p w14:paraId="6A5C5967" w14:textId="33D57F38" w:rsidR="003D0A08" w:rsidRPr="00794D76" w:rsidRDefault="003D0A08" w:rsidP="00704821">
      <w:pPr>
        <w:pStyle w:val="FootnoteText"/>
        <w:jc w:val="both"/>
        <w:rPr>
          <w:lang w:val="hr-HR"/>
        </w:rPr>
      </w:pPr>
      <w:r>
        <w:rPr>
          <w:rStyle w:val="FootnoteReference"/>
        </w:rPr>
        <w:footnoteRef/>
      </w:r>
      <w:r>
        <w:t xml:space="preserve"> </w:t>
      </w:r>
      <w:r>
        <w:rPr>
          <w:lang w:val="mk-MK"/>
        </w:rPr>
        <w:t xml:space="preserve">Следниве плански региони имаат право да се пријават: Скопскиот, Источниот, Југоисточниот, Североисточниот, Пелагонискиот, Вардарскиот, Југозападниот и Полошкиот регион. </w:t>
      </w:r>
    </w:p>
  </w:footnote>
  <w:footnote w:id="4">
    <w:p w14:paraId="61C5EC9D" w14:textId="7BFAD473" w:rsidR="003D0A08" w:rsidRPr="00794D76" w:rsidRDefault="003D0A08" w:rsidP="00704821">
      <w:pPr>
        <w:pStyle w:val="FootnoteText"/>
        <w:jc w:val="both"/>
        <w:rPr>
          <w:lang w:val="hr-HR"/>
        </w:rPr>
      </w:pPr>
      <w:r>
        <w:rPr>
          <w:rStyle w:val="FootnoteReference"/>
        </w:rPr>
        <w:footnoteRef/>
      </w:r>
      <w:r>
        <w:t xml:space="preserve"> </w:t>
      </w:r>
      <w:r>
        <w:rPr>
          <w:lang w:val="mk-MK"/>
        </w:rPr>
        <w:t>Нема потреба од Договор за партнерство кога партнерот е јавен субјект во сопственост или на друг начин под контрола на општината којашто поднела пријава, со оглед дека овој партнерски однос веќе е регулиран со други документи – статути, основачки документи, и сл.</w:t>
      </w:r>
    </w:p>
  </w:footnote>
  <w:footnote w:id="5">
    <w:p w14:paraId="79C5634E" w14:textId="77777777" w:rsidR="003D0A08" w:rsidRDefault="003D0A08" w:rsidP="009506CC">
      <w:pPr>
        <w:pStyle w:val="FootnoteText"/>
      </w:pPr>
      <w:r>
        <w:rPr>
          <w:rStyle w:val="FootnoteReference"/>
        </w:rPr>
        <w:footnoteRef/>
      </w:r>
      <w:r>
        <w:t xml:space="preserve"> </w:t>
      </w:r>
      <w:hyperlink r:id="rId1" w:history="1">
        <w:r w:rsidRPr="006B3E6F">
          <w:rPr>
            <w:rStyle w:val="Hyperlink"/>
          </w:rPr>
          <w:t>https://ec.europa.eu/docsroom/documents/15582/attachments/1/translations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70B67" w14:textId="332DEBA0" w:rsidR="003D0A08" w:rsidRPr="0099725C" w:rsidRDefault="006002A4" w:rsidP="0099725C">
    <w:pPr>
      <w:pStyle w:val="Header"/>
      <w:tabs>
        <w:tab w:val="clear" w:pos="4536"/>
        <w:tab w:val="clear" w:pos="9072"/>
        <w:tab w:val="left" w:pos="3546"/>
      </w:tabs>
      <w:rPr>
        <w:b/>
        <w:sz w:val="28"/>
      </w:rPr>
    </w:pPr>
    <w:r>
      <w:rPr>
        <w:noProof/>
        <w:lang w:val="hr-HR" w:eastAsia="hr-HR"/>
      </w:rPr>
      <w:drawing>
        <wp:anchor distT="0" distB="0" distL="114300" distR="114300" simplePos="0" relativeHeight="251659264" behindDoc="1" locked="0" layoutInCell="1" allowOverlap="1" wp14:anchorId="6F98536B" wp14:editId="08A92E85">
          <wp:simplePos x="0" y="0"/>
          <wp:positionH relativeFrom="column">
            <wp:posOffset>1270</wp:posOffset>
          </wp:positionH>
          <wp:positionV relativeFrom="paragraph">
            <wp:posOffset>162250</wp:posOffset>
          </wp:positionV>
          <wp:extent cx="1416050" cy="411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411480"/>
                  </a:xfrm>
                  <a:prstGeom prst="rect">
                    <a:avLst/>
                  </a:prstGeom>
                  <a:noFill/>
                  <a:ln>
                    <a:noFill/>
                  </a:ln>
                </pic:spPr>
              </pic:pic>
            </a:graphicData>
          </a:graphic>
        </wp:anchor>
      </w:drawing>
    </w:r>
    <w:r w:rsidR="003D0A08">
      <w:rPr>
        <w:noProof/>
        <w:lang w:val="hr-HR" w:eastAsia="hr-HR"/>
      </w:rPr>
      <w:drawing>
        <wp:anchor distT="0" distB="0" distL="114300" distR="114300" simplePos="0" relativeHeight="251658240" behindDoc="0" locked="0" layoutInCell="1" allowOverlap="1" wp14:anchorId="4714EFA3" wp14:editId="6F53434D">
          <wp:simplePos x="0" y="0"/>
          <wp:positionH relativeFrom="column">
            <wp:posOffset>5558155</wp:posOffset>
          </wp:positionH>
          <wp:positionV relativeFrom="paragraph">
            <wp:posOffset>-97155</wp:posOffset>
          </wp:positionV>
          <wp:extent cx="428625" cy="8763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876300"/>
                  </a:xfrm>
                  <a:prstGeom prst="rect">
                    <a:avLst/>
                  </a:prstGeom>
                  <a:noFill/>
                </pic:spPr>
              </pic:pic>
            </a:graphicData>
          </a:graphic>
          <wp14:sizeRelH relativeFrom="page">
            <wp14:pctWidth>0</wp14:pctWidth>
          </wp14:sizeRelH>
          <wp14:sizeRelV relativeFrom="page">
            <wp14:pctHeight>0</wp14:pctHeight>
          </wp14:sizeRelV>
        </wp:anchor>
      </w:drawing>
    </w:r>
    <w:r w:rsidR="003D0A0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B5FD5"/>
    <w:multiLevelType w:val="hybridMultilevel"/>
    <w:tmpl w:val="981C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B295F"/>
    <w:multiLevelType w:val="hybridMultilevel"/>
    <w:tmpl w:val="C4BAA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17EC8"/>
    <w:multiLevelType w:val="hybridMultilevel"/>
    <w:tmpl w:val="28E8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B7385"/>
    <w:multiLevelType w:val="hybridMultilevel"/>
    <w:tmpl w:val="93C443B2"/>
    <w:lvl w:ilvl="0" w:tplc="B5B8CB02">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55274B"/>
    <w:multiLevelType w:val="hybridMultilevel"/>
    <w:tmpl w:val="35C0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83F36"/>
    <w:multiLevelType w:val="hybridMultilevel"/>
    <w:tmpl w:val="7D360F60"/>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AF364C3"/>
    <w:multiLevelType w:val="hybridMultilevel"/>
    <w:tmpl w:val="AEA2FE14"/>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B912091"/>
    <w:multiLevelType w:val="hybridMultilevel"/>
    <w:tmpl w:val="16865618"/>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C1A264B"/>
    <w:multiLevelType w:val="hybridMultilevel"/>
    <w:tmpl w:val="8D4899BE"/>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212181B"/>
    <w:multiLevelType w:val="hybridMultilevel"/>
    <w:tmpl w:val="E92CCF2A"/>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1D2DAC"/>
    <w:multiLevelType w:val="hybridMultilevel"/>
    <w:tmpl w:val="D5966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441DD"/>
    <w:multiLevelType w:val="hybridMultilevel"/>
    <w:tmpl w:val="E05A74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C5F527C"/>
    <w:multiLevelType w:val="hybridMultilevel"/>
    <w:tmpl w:val="4DEA61C6"/>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E895F62"/>
    <w:multiLevelType w:val="hybridMultilevel"/>
    <w:tmpl w:val="DB06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8215F"/>
    <w:multiLevelType w:val="hybridMultilevel"/>
    <w:tmpl w:val="CA06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17160"/>
    <w:multiLevelType w:val="hybridMultilevel"/>
    <w:tmpl w:val="B44E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21F15"/>
    <w:multiLevelType w:val="hybridMultilevel"/>
    <w:tmpl w:val="11FA0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41473"/>
    <w:multiLevelType w:val="hybridMultilevel"/>
    <w:tmpl w:val="F614274A"/>
    <w:lvl w:ilvl="0" w:tplc="86BA2E8E">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586735B7"/>
    <w:multiLevelType w:val="hybridMultilevel"/>
    <w:tmpl w:val="E30A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12C12"/>
    <w:multiLevelType w:val="hybridMultilevel"/>
    <w:tmpl w:val="C00A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8B3F4D"/>
    <w:multiLevelType w:val="hybridMultilevel"/>
    <w:tmpl w:val="3CB6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FC0A8C"/>
    <w:multiLevelType w:val="hybridMultilevel"/>
    <w:tmpl w:val="5470B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A6613A"/>
    <w:multiLevelType w:val="hybridMultilevel"/>
    <w:tmpl w:val="3C94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422517"/>
    <w:multiLevelType w:val="hybridMultilevel"/>
    <w:tmpl w:val="599C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CC0D74"/>
    <w:multiLevelType w:val="hybridMultilevel"/>
    <w:tmpl w:val="B55C3516"/>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7DA3AFE"/>
    <w:multiLevelType w:val="hybridMultilevel"/>
    <w:tmpl w:val="AB241122"/>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A491D66"/>
    <w:multiLevelType w:val="hybridMultilevel"/>
    <w:tmpl w:val="385223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5"/>
  </w:num>
  <w:num w:numId="4">
    <w:abstractNumId w:val="16"/>
  </w:num>
  <w:num w:numId="5">
    <w:abstractNumId w:val="22"/>
  </w:num>
  <w:num w:numId="6">
    <w:abstractNumId w:val="2"/>
  </w:num>
  <w:num w:numId="7">
    <w:abstractNumId w:val="0"/>
  </w:num>
  <w:num w:numId="8">
    <w:abstractNumId w:val="20"/>
  </w:num>
  <w:num w:numId="9">
    <w:abstractNumId w:val="14"/>
  </w:num>
  <w:num w:numId="10">
    <w:abstractNumId w:val="19"/>
  </w:num>
  <w:num w:numId="11">
    <w:abstractNumId w:val="4"/>
  </w:num>
  <w:num w:numId="12">
    <w:abstractNumId w:val="13"/>
  </w:num>
  <w:num w:numId="13">
    <w:abstractNumId w:val="18"/>
  </w:num>
  <w:num w:numId="14">
    <w:abstractNumId w:val="23"/>
  </w:num>
  <w:num w:numId="15">
    <w:abstractNumId w:val="10"/>
  </w:num>
  <w:num w:numId="16">
    <w:abstractNumId w:val="1"/>
  </w:num>
  <w:num w:numId="17">
    <w:abstractNumId w:val="21"/>
  </w:num>
  <w:num w:numId="18">
    <w:abstractNumId w:val="20"/>
  </w:num>
  <w:num w:numId="19">
    <w:abstractNumId w:val="25"/>
  </w:num>
  <w:num w:numId="20">
    <w:abstractNumId w:val="8"/>
  </w:num>
  <w:num w:numId="21">
    <w:abstractNumId w:val="9"/>
  </w:num>
  <w:num w:numId="22">
    <w:abstractNumId w:val="7"/>
  </w:num>
  <w:num w:numId="23">
    <w:abstractNumId w:val="12"/>
  </w:num>
  <w:num w:numId="24">
    <w:abstractNumId w:val="24"/>
  </w:num>
  <w:num w:numId="25">
    <w:abstractNumId w:val="6"/>
  </w:num>
  <w:num w:numId="26">
    <w:abstractNumId w:val="5"/>
  </w:num>
  <w:num w:numId="27">
    <w:abstractNumId w:val="2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BCB"/>
    <w:rsid w:val="00004BBA"/>
    <w:rsid w:val="00005811"/>
    <w:rsid w:val="00025F42"/>
    <w:rsid w:val="00033D1F"/>
    <w:rsid w:val="00064137"/>
    <w:rsid w:val="000641BA"/>
    <w:rsid w:val="00072370"/>
    <w:rsid w:val="00072985"/>
    <w:rsid w:val="00075170"/>
    <w:rsid w:val="000842AE"/>
    <w:rsid w:val="00093A3C"/>
    <w:rsid w:val="000A3CDF"/>
    <w:rsid w:val="000A4558"/>
    <w:rsid w:val="000A6799"/>
    <w:rsid w:val="000B265D"/>
    <w:rsid w:val="000C3943"/>
    <w:rsid w:val="000C593E"/>
    <w:rsid w:val="000D0139"/>
    <w:rsid w:val="000D3CF2"/>
    <w:rsid w:val="000F154A"/>
    <w:rsid w:val="0011258F"/>
    <w:rsid w:val="00121CAA"/>
    <w:rsid w:val="0013294D"/>
    <w:rsid w:val="00132AEA"/>
    <w:rsid w:val="0013677F"/>
    <w:rsid w:val="00145126"/>
    <w:rsid w:val="00152DFF"/>
    <w:rsid w:val="0016460B"/>
    <w:rsid w:val="00182076"/>
    <w:rsid w:val="001827C7"/>
    <w:rsid w:val="0019024B"/>
    <w:rsid w:val="00192772"/>
    <w:rsid w:val="001953E9"/>
    <w:rsid w:val="001A08A5"/>
    <w:rsid w:val="001A08F6"/>
    <w:rsid w:val="001A0E18"/>
    <w:rsid w:val="001A6DDD"/>
    <w:rsid w:val="001B6741"/>
    <w:rsid w:val="001C524D"/>
    <w:rsid w:val="001E1A39"/>
    <w:rsid w:val="001E4A1E"/>
    <w:rsid w:val="00202411"/>
    <w:rsid w:val="002032B9"/>
    <w:rsid w:val="00204487"/>
    <w:rsid w:val="0020508B"/>
    <w:rsid w:val="00210E76"/>
    <w:rsid w:val="00227B6D"/>
    <w:rsid w:val="00233D05"/>
    <w:rsid w:val="00236319"/>
    <w:rsid w:val="00237C77"/>
    <w:rsid w:val="002414BC"/>
    <w:rsid w:val="002436E5"/>
    <w:rsid w:val="00254D93"/>
    <w:rsid w:val="00263E9D"/>
    <w:rsid w:val="0028556A"/>
    <w:rsid w:val="00296AF1"/>
    <w:rsid w:val="002A1409"/>
    <w:rsid w:val="002B0FB1"/>
    <w:rsid w:val="002C0CF9"/>
    <w:rsid w:val="002C37ED"/>
    <w:rsid w:val="002E4366"/>
    <w:rsid w:val="002F26D2"/>
    <w:rsid w:val="003001F0"/>
    <w:rsid w:val="003102B9"/>
    <w:rsid w:val="0031201F"/>
    <w:rsid w:val="003177A6"/>
    <w:rsid w:val="00327122"/>
    <w:rsid w:val="00327D17"/>
    <w:rsid w:val="00330900"/>
    <w:rsid w:val="003469AA"/>
    <w:rsid w:val="003520F3"/>
    <w:rsid w:val="003543DE"/>
    <w:rsid w:val="00361BBD"/>
    <w:rsid w:val="003746CD"/>
    <w:rsid w:val="00374BCB"/>
    <w:rsid w:val="00377192"/>
    <w:rsid w:val="00381887"/>
    <w:rsid w:val="00381A1F"/>
    <w:rsid w:val="00392EE2"/>
    <w:rsid w:val="003A281D"/>
    <w:rsid w:val="003A2B38"/>
    <w:rsid w:val="003A5A2B"/>
    <w:rsid w:val="003D0A08"/>
    <w:rsid w:val="003D7850"/>
    <w:rsid w:val="003E3CE4"/>
    <w:rsid w:val="003F235E"/>
    <w:rsid w:val="00402C11"/>
    <w:rsid w:val="0040777C"/>
    <w:rsid w:val="0041051E"/>
    <w:rsid w:val="00434E5C"/>
    <w:rsid w:val="0043575D"/>
    <w:rsid w:val="00436C87"/>
    <w:rsid w:val="0044635D"/>
    <w:rsid w:val="00453635"/>
    <w:rsid w:val="0046430B"/>
    <w:rsid w:val="00475319"/>
    <w:rsid w:val="004A1170"/>
    <w:rsid w:val="004A52D5"/>
    <w:rsid w:val="004A704B"/>
    <w:rsid w:val="004A70A1"/>
    <w:rsid w:val="004B0709"/>
    <w:rsid w:val="004B0F72"/>
    <w:rsid w:val="004C2630"/>
    <w:rsid w:val="004C3236"/>
    <w:rsid w:val="004C3A81"/>
    <w:rsid w:val="004C4ABB"/>
    <w:rsid w:val="004D2926"/>
    <w:rsid w:val="004D496B"/>
    <w:rsid w:val="004E2A5D"/>
    <w:rsid w:val="004F1F42"/>
    <w:rsid w:val="004F733A"/>
    <w:rsid w:val="00506783"/>
    <w:rsid w:val="00517FC0"/>
    <w:rsid w:val="00533D29"/>
    <w:rsid w:val="00536425"/>
    <w:rsid w:val="0053747C"/>
    <w:rsid w:val="00542218"/>
    <w:rsid w:val="005439B8"/>
    <w:rsid w:val="00546BFA"/>
    <w:rsid w:val="00576C7D"/>
    <w:rsid w:val="0058333F"/>
    <w:rsid w:val="00592577"/>
    <w:rsid w:val="005A454D"/>
    <w:rsid w:val="005C0E59"/>
    <w:rsid w:val="005C4514"/>
    <w:rsid w:val="005D1A05"/>
    <w:rsid w:val="005D1A52"/>
    <w:rsid w:val="005D3527"/>
    <w:rsid w:val="005D448E"/>
    <w:rsid w:val="005E1BA6"/>
    <w:rsid w:val="005E7281"/>
    <w:rsid w:val="006002A4"/>
    <w:rsid w:val="006040F0"/>
    <w:rsid w:val="00604FF3"/>
    <w:rsid w:val="00612C13"/>
    <w:rsid w:val="00642110"/>
    <w:rsid w:val="00642B3F"/>
    <w:rsid w:val="00643611"/>
    <w:rsid w:val="00664250"/>
    <w:rsid w:val="00665D69"/>
    <w:rsid w:val="00675974"/>
    <w:rsid w:val="0069682C"/>
    <w:rsid w:val="00697CDB"/>
    <w:rsid w:val="006B32C4"/>
    <w:rsid w:val="006D1918"/>
    <w:rsid w:val="006D3753"/>
    <w:rsid w:val="006D5EEF"/>
    <w:rsid w:val="006E2D30"/>
    <w:rsid w:val="006F2FB8"/>
    <w:rsid w:val="00704821"/>
    <w:rsid w:val="0072680C"/>
    <w:rsid w:val="00752A13"/>
    <w:rsid w:val="0075542B"/>
    <w:rsid w:val="00756C79"/>
    <w:rsid w:val="00757722"/>
    <w:rsid w:val="0076292E"/>
    <w:rsid w:val="007704A6"/>
    <w:rsid w:val="007707BE"/>
    <w:rsid w:val="00770D69"/>
    <w:rsid w:val="00782A45"/>
    <w:rsid w:val="00791584"/>
    <w:rsid w:val="00794D76"/>
    <w:rsid w:val="007A31C7"/>
    <w:rsid w:val="007C1069"/>
    <w:rsid w:val="007C780D"/>
    <w:rsid w:val="007E447D"/>
    <w:rsid w:val="007E5206"/>
    <w:rsid w:val="007F63CA"/>
    <w:rsid w:val="0081359D"/>
    <w:rsid w:val="00821F2A"/>
    <w:rsid w:val="00835FE2"/>
    <w:rsid w:val="00844946"/>
    <w:rsid w:val="00845D90"/>
    <w:rsid w:val="00850B66"/>
    <w:rsid w:val="00852934"/>
    <w:rsid w:val="0085310F"/>
    <w:rsid w:val="00856187"/>
    <w:rsid w:val="00860A0D"/>
    <w:rsid w:val="008619F8"/>
    <w:rsid w:val="00862CC9"/>
    <w:rsid w:val="00887E25"/>
    <w:rsid w:val="008C116F"/>
    <w:rsid w:val="008C6622"/>
    <w:rsid w:val="008E01F6"/>
    <w:rsid w:val="008E53EE"/>
    <w:rsid w:val="008E6801"/>
    <w:rsid w:val="008F0FE8"/>
    <w:rsid w:val="008F24AB"/>
    <w:rsid w:val="008F5109"/>
    <w:rsid w:val="009011E7"/>
    <w:rsid w:val="00903E70"/>
    <w:rsid w:val="00914A78"/>
    <w:rsid w:val="00914DD8"/>
    <w:rsid w:val="00917A25"/>
    <w:rsid w:val="0092143A"/>
    <w:rsid w:val="0092155C"/>
    <w:rsid w:val="0093635A"/>
    <w:rsid w:val="00950648"/>
    <w:rsid w:val="009506CC"/>
    <w:rsid w:val="009526C6"/>
    <w:rsid w:val="00956BF0"/>
    <w:rsid w:val="00960703"/>
    <w:rsid w:val="0099725C"/>
    <w:rsid w:val="009A06C4"/>
    <w:rsid w:val="009A1C21"/>
    <w:rsid w:val="009A2D76"/>
    <w:rsid w:val="009C3478"/>
    <w:rsid w:val="009C572D"/>
    <w:rsid w:val="009D7AB3"/>
    <w:rsid w:val="009E7310"/>
    <w:rsid w:val="009E752D"/>
    <w:rsid w:val="009F2D57"/>
    <w:rsid w:val="009F63F6"/>
    <w:rsid w:val="00A205BC"/>
    <w:rsid w:val="00A33097"/>
    <w:rsid w:val="00A337DE"/>
    <w:rsid w:val="00A47324"/>
    <w:rsid w:val="00A64CC0"/>
    <w:rsid w:val="00A73419"/>
    <w:rsid w:val="00A76C67"/>
    <w:rsid w:val="00A82375"/>
    <w:rsid w:val="00A928E0"/>
    <w:rsid w:val="00A93B13"/>
    <w:rsid w:val="00AA3704"/>
    <w:rsid w:val="00AA4206"/>
    <w:rsid w:val="00AA6EF1"/>
    <w:rsid w:val="00AC5A0D"/>
    <w:rsid w:val="00AC766C"/>
    <w:rsid w:val="00AD5B87"/>
    <w:rsid w:val="00AE1ED7"/>
    <w:rsid w:val="00AE2C7B"/>
    <w:rsid w:val="00AF5C53"/>
    <w:rsid w:val="00AF7F3C"/>
    <w:rsid w:val="00B03670"/>
    <w:rsid w:val="00B05FE5"/>
    <w:rsid w:val="00B15B78"/>
    <w:rsid w:val="00B212C4"/>
    <w:rsid w:val="00B31D99"/>
    <w:rsid w:val="00B6052B"/>
    <w:rsid w:val="00B72416"/>
    <w:rsid w:val="00B73BC2"/>
    <w:rsid w:val="00B7430E"/>
    <w:rsid w:val="00BA678F"/>
    <w:rsid w:val="00BC700E"/>
    <w:rsid w:val="00BD5BC5"/>
    <w:rsid w:val="00BE0E2D"/>
    <w:rsid w:val="00BE65BB"/>
    <w:rsid w:val="00BE7189"/>
    <w:rsid w:val="00C453E4"/>
    <w:rsid w:val="00C45572"/>
    <w:rsid w:val="00C50996"/>
    <w:rsid w:val="00C56501"/>
    <w:rsid w:val="00C8146D"/>
    <w:rsid w:val="00C96491"/>
    <w:rsid w:val="00CB3307"/>
    <w:rsid w:val="00CB38D5"/>
    <w:rsid w:val="00CB678F"/>
    <w:rsid w:val="00CC07EA"/>
    <w:rsid w:val="00CD61F0"/>
    <w:rsid w:val="00CE3AD9"/>
    <w:rsid w:val="00CE7359"/>
    <w:rsid w:val="00CF20DC"/>
    <w:rsid w:val="00CF566A"/>
    <w:rsid w:val="00D053D4"/>
    <w:rsid w:val="00D06B07"/>
    <w:rsid w:val="00D12EF4"/>
    <w:rsid w:val="00D23DA3"/>
    <w:rsid w:val="00D42A48"/>
    <w:rsid w:val="00D42C2F"/>
    <w:rsid w:val="00D4522D"/>
    <w:rsid w:val="00D51F03"/>
    <w:rsid w:val="00D634C5"/>
    <w:rsid w:val="00D70B7C"/>
    <w:rsid w:val="00DB2F04"/>
    <w:rsid w:val="00DB5672"/>
    <w:rsid w:val="00DC4340"/>
    <w:rsid w:val="00DD7032"/>
    <w:rsid w:val="00DF2529"/>
    <w:rsid w:val="00DF7D5B"/>
    <w:rsid w:val="00E02F5D"/>
    <w:rsid w:val="00E05999"/>
    <w:rsid w:val="00E05FD5"/>
    <w:rsid w:val="00E10B1F"/>
    <w:rsid w:val="00E1331B"/>
    <w:rsid w:val="00E17194"/>
    <w:rsid w:val="00E2395D"/>
    <w:rsid w:val="00E24956"/>
    <w:rsid w:val="00E33166"/>
    <w:rsid w:val="00E332FB"/>
    <w:rsid w:val="00E42664"/>
    <w:rsid w:val="00E45FF7"/>
    <w:rsid w:val="00E50FA2"/>
    <w:rsid w:val="00E62A3F"/>
    <w:rsid w:val="00E70BD3"/>
    <w:rsid w:val="00E777FF"/>
    <w:rsid w:val="00E87478"/>
    <w:rsid w:val="00E945F7"/>
    <w:rsid w:val="00EB6B8D"/>
    <w:rsid w:val="00EE14DB"/>
    <w:rsid w:val="00EF308A"/>
    <w:rsid w:val="00F06EBE"/>
    <w:rsid w:val="00F103D8"/>
    <w:rsid w:val="00F171B0"/>
    <w:rsid w:val="00F35508"/>
    <w:rsid w:val="00F41BC0"/>
    <w:rsid w:val="00F60269"/>
    <w:rsid w:val="00F71FCD"/>
    <w:rsid w:val="00F74255"/>
    <w:rsid w:val="00F74807"/>
    <w:rsid w:val="00F946C0"/>
    <w:rsid w:val="00F951FC"/>
    <w:rsid w:val="00F953CF"/>
    <w:rsid w:val="00FA182F"/>
    <w:rsid w:val="00FA67C1"/>
    <w:rsid w:val="00FA6F54"/>
    <w:rsid w:val="00FB2DC3"/>
    <w:rsid w:val="00FC4388"/>
    <w:rsid w:val="00FC4B00"/>
    <w:rsid w:val="00FD1712"/>
    <w:rsid w:val="00FD37B2"/>
    <w:rsid w:val="00FF1559"/>
    <w:rsid w:val="00FF4A7F"/>
    <w:rsid w:val="00FF56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C6D03A"/>
  <w15:docId w15:val="{DE63CAB4-130F-4E10-AD86-A43DB221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4BCB"/>
    <w:rPr>
      <w:lang w:val="en-US"/>
    </w:rPr>
  </w:style>
  <w:style w:type="paragraph" w:styleId="Heading1">
    <w:name w:val="heading 1"/>
    <w:basedOn w:val="Normal"/>
    <w:next w:val="Normal"/>
    <w:link w:val="Heading1Char"/>
    <w:uiPriority w:val="9"/>
    <w:qFormat/>
    <w:rsid w:val="00F41BC0"/>
    <w:pPr>
      <w:keepNext/>
      <w:keepLines/>
      <w:spacing w:before="240"/>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CB"/>
    <w:pPr>
      <w:tabs>
        <w:tab w:val="center" w:pos="4536"/>
        <w:tab w:val="right" w:pos="9072"/>
      </w:tabs>
      <w:spacing w:line="240" w:lineRule="auto"/>
    </w:pPr>
  </w:style>
  <w:style w:type="character" w:customStyle="1" w:styleId="HeaderChar">
    <w:name w:val="Header Char"/>
    <w:basedOn w:val="DefaultParagraphFont"/>
    <w:link w:val="Header"/>
    <w:uiPriority w:val="99"/>
    <w:rsid w:val="00374BCB"/>
  </w:style>
  <w:style w:type="paragraph" w:styleId="Footer">
    <w:name w:val="footer"/>
    <w:basedOn w:val="Normal"/>
    <w:link w:val="FooterChar"/>
    <w:uiPriority w:val="99"/>
    <w:unhideWhenUsed/>
    <w:rsid w:val="00374BCB"/>
    <w:pPr>
      <w:tabs>
        <w:tab w:val="center" w:pos="4536"/>
        <w:tab w:val="right" w:pos="9072"/>
      </w:tabs>
      <w:spacing w:line="240" w:lineRule="auto"/>
    </w:pPr>
  </w:style>
  <w:style w:type="character" w:customStyle="1" w:styleId="FooterChar">
    <w:name w:val="Footer Char"/>
    <w:basedOn w:val="DefaultParagraphFont"/>
    <w:link w:val="Footer"/>
    <w:uiPriority w:val="99"/>
    <w:rsid w:val="00374BCB"/>
  </w:style>
  <w:style w:type="character" w:styleId="CommentReference">
    <w:name w:val="annotation reference"/>
    <w:basedOn w:val="DefaultParagraphFont"/>
    <w:uiPriority w:val="99"/>
    <w:semiHidden/>
    <w:unhideWhenUsed/>
    <w:rsid w:val="00917A25"/>
    <w:rPr>
      <w:sz w:val="16"/>
      <w:szCs w:val="16"/>
    </w:rPr>
  </w:style>
  <w:style w:type="paragraph" w:styleId="CommentText">
    <w:name w:val="annotation text"/>
    <w:basedOn w:val="Normal"/>
    <w:link w:val="CommentTextChar"/>
    <w:uiPriority w:val="99"/>
    <w:semiHidden/>
    <w:unhideWhenUsed/>
    <w:rsid w:val="00917A25"/>
    <w:pPr>
      <w:spacing w:line="240" w:lineRule="auto"/>
    </w:pPr>
    <w:rPr>
      <w:sz w:val="20"/>
      <w:szCs w:val="20"/>
    </w:rPr>
  </w:style>
  <w:style w:type="character" w:customStyle="1" w:styleId="CommentTextChar">
    <w:name w:val="Comment Text Char"/>
    <w:basedOn w:val="DefaultParagraphFont"/>
    <w:link w:val="CommentText"/>
    <w:uiPriority w:val="99"/>
    <w:semiHidden/>
    <w:rsid w:val="00917A25"/>
    <w:rPr>
      <w:sz w:val="20"/>
      <w:szCs w:val="20"/>
    </w:rPr>
  </w:style>
  <w:style w:type="paragraph" w:styleId="CommentSubject">
    <w:name w:val="annotation subject"/>
    <w:basedOn w:val="CommentText"/>
    <w:next w:val="CommentText"/>
    <w:link w:val="CommentSubjectChar"/>
    <w:uiPriority w:val="99"/>
    <w:semiHidden/>
    <w:unhideWhenUsed/>
    <w:rsid w:val="00917A25"/>
    <w:rPr>
      <w:b/>
      <w:bCs/>
    </w:rPr>
  </w:style>
  <w:style w:type="character" w:customStyle="1" w:styleId="CommentSubjectChar">
    <w:name w:val="Comment Subject Char"/>
    <w:basedOn w:val="CommentTextChar"/>
    <w:link w:val="CommentSubject"/>
    <w:uiPriority w:val="99"/>
    <w:semiHidden/>
    <w:rsid w:val="00917A25"/>
    <w:rPr>
      <w:b/>
      <w:bCs/>
      <w:sz w:val="20"/>
      <w:szCs w:val="20"/>
    </w:rPr>
  </w:style>
  <w:style w:type="paragraph" w:styleId="BalloonText">
    <w:name w:val="Balloon Text"/>
    <w:basedOn w:val="Normal"/>
    <w:link w:val="BalloonTextChar"/>
    <w:uiPriority w:val="99"/>
    <w:semiHidden/>
    <w:unhideWhenUsed/>
    <w:rsid w:val="00917A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A25"/>
    <w:rPr>
      <w:rFonts w:ascii="Segoe UI" w:hAnsi="Segoe UI" w:cs="Segoe UI"/>
      <w:sz w:val="18"/>
      <w:szCs w:val="18"/>
    </w:rPr>
  </w:style>
  <w:style w:type="character" w:styleId="FootnoteReference">
    <w:name w:val="footnote reference"/>
    <w:basedOn w:val="DefaultParagraphFont"/>
    <w:uiPriority w:val="99"/>
    <w:semiHidden/>
    <w:unhideWhenUsed/>
    <w:rsid w:val="00917A25"/>
    <w:rPr>
      <w:vertAlign w:val="superscript"/>
    </w:rPr>
  </w:style>
  <w:style w:type="paragraph" w:styleId="ListParagraph">
    <w:name w:val="List Paragraph"/>
    <w:basedOn w:val="Normal"/>
    <w:uiPriority w:val="34"/>
    <w:qFormat/>
    <w:rsid w:val="00237C77"/>
    <w:pPr>
      <w:ind w:left="720"/>
      <w:contextualSpacing/>
    </w:pPr>
  </w:style>
  <w:style w:type="paragraph" w:styleId="FootnoteText">
    <w:name w:val="footnote text"/>
    <w:basedOn w:val="Normal"/>
    <w:link w:val="FootnoteTextChar"/>
    <w:uiPriority w:val="99"/>
    <w:semiHidden/>
    <w:unhideWhenUsed/>
    <w:rsid w:val="00A93B13"/>
    <w:pPr>
      <w:spacing w:line="240" w:lineRule="auto"/>
    </w:pPr>
    <w:rPr>
      <w:sz w:val="20"/>
      <w:szCs w:val="20"/>
    </w:rPr>
  </w:style>
  <w:style w:type="character" w:customStyle="1" w:styleId="FootnoteTextChar">
    <w:name w:val="Footnote Text Char"/>
    <w:basedOn w:val="DefaultParagraphFont"/>
    <w:link w:val="FootnoteText"/>
    <w:uiPriority w:val="99"/>
    <w:semiHidden/>
    <w:rsid w:val="00A93B13"/>
    <w:rPr>
      <w:sz w:val="20"/>
      <w:szCs w:val="20"/>
    </w:rPr>
  </w:style>
  <w:style w:type="character" w:styleId="Hyperlink">
    <w:name w:val="Hyperlink"/>
    <w:basedOn w:val="DefaultParagraphFont"/>
    <w:uiPriority w:val="99"/>
    <w:unhideWhenUsed/>
    <w:rsid w:val="004A704B"/>
    <w:rPr>
      <w:color w:val="0000FF" w:themeColor="hyperlink"/>
      <w:u w:val="single"/>
    </w:rPr>
  </w:style>
  <w:style w:type="table" w:styleId="TableGrid">
    <w:name w:val="Table Grid"/>
    <w:basedOn w:val="TableNormal"/>
    <w:uiPriority w:val="59"/>
    <w:rsid w:val="007554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2C11"/>
    <w:pPr>
      <w:spacing w:line="240" w:lineRule="auto"/>
    </w:pPr>
    <w:rPr>
      <w:lang w:val="en-US"/>
    </w:rPr>
  </w:style>
  <w:style w:type="character" w:customStyle="1" w:styleId="UnresolvedMention1">
    <w:name w:val="Unresolved Mention1"/>
    <w:basedOn w:val="DefaultParagraphFont"/>
    <w:uiPriority w:val="99"/>
    <w:semiHidden/>
    <w:unhideWhenUsed/>
    <w:rsid w:val="00845D90"/>
    <w:rPr>
      <w:color w:val="605E5C"/>
      <w:shd w:val="clear" w:color="auto" w:fill="E1DFDD"/>
    </w:rPr>
  </w:style>
  <w:style w:type="character" w:styleId="UnresolvedMention">
    <w:name w:val="Unresolved Mention"/>
    <w:basedOn w:val="DefaultParagraphFont"/>
    <w:uiPriority w:val="99"/>
    <w:semiHidden/>
    <w:unhideWhenUsed/>
    <w:rsid w:val="004E2A5D"/>
    <w:rPr>
      <w:color w:val="605E5C"/>
      <w:shd w:val="clear" w:color="auto" w:fill="E1DFDD"/>
    </w:rPr>
  </w:style>
  <w:style w:type="character" w:customStyle="1" w:styleId="Heading1Char">
    <w:name w:val="Heading 1 Char"/>
    <w:basedOn w:val="DefaultParagraphFont"/>
    <w:link w:val="Heading1"/>
    <w:uiPriority w:val="9"/>
    <w:rsid w:val="00F41BC0"/>
    <w:rPr>
      <w:rFonts w:eastAsiaTheme="majorEastAsia" w:cstheme="majorBidi"/>
      <w:b/>
      <w:color w:val="000000" w:themeColor="text1"/>
      <w:sz w:val="28"/>
      <w:szCs w:val="32"/>
      <w:lang w:val="en-US"/>
    </w:rPr>
  </w:style>
  <w:style w:type="character" w:styleId="PageNumber">
    <w:name w:val="page number"/>
    <w:basedOn w:val="DefaultParagraphFont"/>
    <w:uiPriority w:val="99"/>
    <w:semiHidden/>
    <w:unhideWhenUsed/>
    <w:rsid w:val="00950648"/>
  </w:style>
  <w:style w:type="paragraph" w:styleId="BodyText">
    <w:name w:val="Body Text"/>
    <w:basedOn w:val="Normal"/>
    <w:link w:val="BodyTextChar"/>
    <w:uiPriority w:val="99"/>
    <w:unhideWhenUsed/>
    <w:rsid w:val="00E87478"/>
    <w:pPr>
      <w:jc w:val="both"/>
    </w:pPr>
    <w:rPr>
      <w:lang w:val="mk-MK"/>
    </w:rPr>
  </w:style>
  <w:style w:type="character" w:customStyle="1" w:styleId="BodyTextChar">
    <w:name w:val="Body Text Char"/>
    <w:basedOn w:val="DefaultParagraphFont"/>
    <w:link w:val="BodyText"/>
    <w:uiPriority w:val="99"/>
    <w:rsid w:val="00E87478"/>
    <w:rPr>
      <w:lang w:val="mk-MK"/>
    </w:rPr>
  </w:style>
  <w:style w:type="paragraph" w:styleId="BodyText2">
    <w:name w:val="Body Text 2"/>
    <w:basedOn w:val="Normal"/>
    <w:link w:val="BodyText2Char"/>
    <w:uiPriority w:val="99"/>
    <w:unhideWhenUsed/>
    <w:rsid w:val="000641BA"/>
    <w:rPr>
      <w:i/>
      <w:iCs/>
      <w:lang w:val="mk-MK"/>
    </w:rPr>
  </w:style>
  <w:style w:type="character" w:customStyle="1" w:styleId="BodyText2Char">
    <w:name w:val="Body Text 2 Char"/>
    <w:basedOn w:val="DefaultParagraphFont"/>
    <w:link w:val="BodyText2"/>
    <w:uiPriority w:val="99"/>
    <w:rsid w:val="000641BA"/>
    <w:rPr>
      <w:i/>
      <w:iCs/>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07446">
      <w:bodyDiv w:val="1"/>
      <w:marLeft w:val="0"/>
      <w:marRight w:val="0"/>
      <w:marTop w:val="0"/>
      <w:marBottom w:val="0"/>
      <w:divBdr>
        <w:top w:val="none" w:sz="0" w:space="0" w:color="auto"/>
        <w:left w:val="none" w:sz="0" w:space="0" w:color="auto"/>
        <w:bottom w:val="none" w:sz="0" w:space="0" w:color="auto"/>
        <w:right w:val="none" w:sz="0" w:space="0" w:color="auto"/>
      </w:divBdr>
    </w:div>
    <w:div w:id="173540135">
      <w:bodyDiv w:val="1"/>
      <w:marLeft w:val="0"/>
      <w:marRight w:val="0"/>
      <w:marTop w:val="0"/>
      <w:marBottom w:val="0"/>
      <w:divBdr>
        <w:top w:val="none" w:sz="0" w:space="0" w:color="auto"/>
        <w:left w:val="none" w:sz="0" w:space="0" w:color="auto"/>
        <w:bottom w:val="none" w:sz="0" w:space="0" w:color="auto"/>
        <w:right w:val="none" w:sz="0" w:space="0" w:color="auto"/>
      </w:divBdr>
    </w:div>
    <w:div w:id="33862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lokalenrazvoj.mk"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lokalenrazvoj.m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local.mk/wp-content/uploads/2020/03/Rezultati-od-prviot-povik-1.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lokalenrazvoj.m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ocsroom/documents/15582/attachments/1/transla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D254850564824AA19271E845BBB3BA" ma:contentTypeVersion="13" ma:contentTypeDescription="Create a new document." ma:contentTypeScope="" ma:versionID="c955726053ebd83b0ba8abaf6d825c91">
  <xsd:schema xmlns:xsd="http://www.w3.org/2001/XMLSchema" xmlns:xs="http://www.w3.org/2001/XMLSchema" xmlns:p="http://schemas.microsoft.com/office/2006/metadata/properties" xmlns:ns3="8aa23731-093b-4ddb-b332-05780261e679" xmlns:ns4="c4216917-a9fa-4543-ba19-d8e06bbe6271" targetNamespace="http://schemas.microsoft.com/office/2006/metadata/properties" ma:root="true" ma:fieldsID="53c1f9c948fb45d8b30fd734246dd674" ns3:_="" ns4:_="">
    <xsd:import namespace="8aa23731-093b-4ddb-b332-05780261e679"/>
    <xsd:import namespace="c4216917-a9fa-4543-ba19-d8e06bbe62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23731-093b-4ddb-b332-05780261e6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16917-a9fa-4543-ba19-d8e06bbe627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B07CD-2FBB-4B39-8ED4-7915DB9BD715}">
  <ds:schemaRefs>
    <ds:schemaRef ds:uri="http://schemas.microsoft.com/sharepoint/v3/contenttype/forms"/>
  </ds:schemaRefs>
</ds:datastoreItem>
</file>

<file path=customXml/itemProps2.xml><?xml version="1.0" encoding="utf-8"?>
<ds:datastoreItem xmlns:ds="http://schemas.openxmlformats.org/officeDocument/2006/customXml" ds:itemID="{94C4FDD8-1A36-4FF7-9D70-F51950987B06}">
  <ds:schemaRefs>
    <ds:schemaRef ds:uri="http://schemas.microsoft.com/office/2006/documentManagement/types"/>
    <ds:schemaRef ds:uri="http://schemas.microsoft.com/office/infopath/2007/PartnerControls"/>
    <ds:schemaRef ds:uri="c4216917-a9fa-4543-ba19-d8e06bbe6271"/>
    <ds:schemaRef ds:uri="http://purl.org/dc/elements/1.1/"/>
    <ds:schemaRef ds:uri="http://schemas.microsoft.com/office/2006/metadata/properties"/>
    <ds:schemaRef ds:uri="http://purl.org/dc/terms/"/>
    <ds:schemaRef ds:uri="http://schemas.openxmlformats.org/package/2006/metadata/core-properties"/>
    <ds:schemaRef ds:uri="8aa23731-093b-4ddb-b332-05780261e679"/>
    <ds:schemaRef ds:uri="http://www.w3.org/XML/1998/namespace"/>
    <ds:schemaRef ds:uri="http://purl.org/dc/dcmitype/"/>
  </ds:schemaRefs>
</ds:datastoreItem>
</file>

<file path=customXml/itemProps3.xml><?xml version="1.0" encoding="utf-8"?>
<ds:datastoreItem xmlns:ds="http://schemas.openxmlformats.org/officeDocument/2006/customXml" ds:itemID="{BD531A8B-9773-45DD-A032-833DEBF05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23731-093b-4ddb-b332-05780261e679"/>
    <ds:schemaRef ds:uri="c4216917-a9fa-4543-ba19-d8e06bbe6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2C64DF-7110-478A-ACEA-A884A8E0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4215</Words>
  <Characters>24027</Characters>
  <Application>Microsoft Office Word</Application>
  <DocSecurity>0</DocSecurity>
  <Lines>200</Lines>
  <Paragraphs>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Kocmur</dc:creator>
  <cp:lastModifiedBy>Marijan Djima</cp:lastModifiedBy>
  <cp:revision>2</cp:revision>
  <cp:lastPrinted>2019-09-16T07:42:00Z</cp:lastPrinted>
  <dcterms:created xsi:type="dcterms:W3CDTF">2020-06-24T11:36:00Z</dcterms:created>
  <dcterms:modified xsi:type="dcterms:W3CDTF">2020-06-24T11:36:00Z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0x010100DFD254850564824AA19271E845BBB3BA</vt:lpwstr>
  </property>
</Properties>
</file>