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985F" w14:textId="2027D61A" w:rsidR="00374BCB" w:rsidRPr="00EF1E7B" w:rsidRDefault="00374BCB" w:rsidP="00374BCB">
      <w:pPr>
        <w:jc w:val="both"/>
        <w:rPr>
          <w:lang w:val="sq-AL"/>
        </w:rPr>
      </w:pPr>
    </w:p>
    <w:p w14:paraId="42A97D20" w14:textId="77777777" w:rsidR="00374BCB" w:rsidRPr="00EF1E7B" w:rsidRDefault="00374BCB" w:rsidP="00374BCB">
      <w:pPr>
        <w:jc w:val="both"/>
        <w:rPr>
          <w:lang w:val="sq-AL"/>
        </w:rPr>
      </w:pPr>
    </w:p>
    <w:p w14:paraId="78EED215" w14:textId="77777777" w:rsidR="00C0556B" w:rsidRPr="00EF1E7B" w:rsidRDefault="00C0556B" w:rsidP="00C0556B">
      <w:pPr>
        <w:jc w:val="center"/>
        <w:rPr>
          <w:lang w:val="sq-AL"/>
        </w:rPr>
      </w:pPr>
      <w:r w:rsidRPr="00EF1E7B">
        <w:rPr>
          <w:lang w:val="sq-AL"/>
        </w:rPr>
        <w:t>Projekt:</w:t>
      </w:r>
    </w:p>
    <w:p w14:paraId="7CFE5E38" w14:textId="77777777" w:rsidR="00C0556B" w:rsidRPr="00EF1E7B" w:rsidRDefault="00C0556B" w:rsidP="00C0556B">
      <w:pPr>
        <w:spacing w:line="280" w:lineRule="auto"/>
        <w:jc w:val="center"/>
        <w:rPr>
          <w:b/>
          <w:lang w:val="sq-AL"/>
        </w:rPr>
      </w:pPr>
      <w:r w:rsidRPr="00EF1E7B">
        <w:rPr>
          <w:b/>
          <w:lang w:val="sq-AL"/>
        </w:rPr>
        <w:t>Ndërtimi i kapaciteteve komunale për implementim të projekteve</w:t>
      </w:r>
    </w:p>
    <w:p w14:paraId="45718E71" w14:textId="77777777" w:rsidR="00C0556B" w:rsidRPr="00EF1E7B" w:rsidRDefault="00C0556B" w:rsidP="00C0556B">
      <w:pPr>
        <w:jc w:val="center"/>
        <w:rPr>
          <w:b/>
          <w:u w:val="single"/>
          <w:lang w:val="sq-AL"/>
        </w:rPr>
      </w:pPr>
    </w:p>
    <w:p w14:paraId="307267E2" w14:textId="7E7E821C" w:rsidR="00C0556B" w:rsidRPr="0018465A" w:rsidRDefault="00C0556B" w:rsidP="00C0556B">
      <w:pPr>
        <w:spacing w:line="280" w:lineRule="auto"/>
        <w:jc w:val="center"/>
        <w:rPr>
          <w:b/>
          <w:sz w:val="40"/>
          <w:szCs w:val="40"/>
          <w:lang w:val="sq-AL"/>
        </w:rPr>
      </w:pPr>
      <w:r w:rsidRPr="0018465A">
        <w:rPr>
          <w:b/>
          <w:sz w:val="40"/>
          <w:szCs w:val="40"/>
          <w:lang w:val="sq-AL"/>
        </w:rPr>
        <w:t>Thirrje e dytë për propozime</w:t>
      </w:r>
      <w:r w:rsidR="002121DA" w:rsidRPr="0018465A">
        <w:rPr>
          <w:b/>
          <w:sz w:val="40"/>
          <w:szCs w:val="40"/>
          <w:lang w:val="sq-AL"/>
        </w:rPr>
        <w:t xml:space="preserve"> për projekte</w:t>
      </w:r>
      <w:r w:rsidRPr="0018465A">
        <w:rPr>
          <w:b/>
          <w:sz w:val="40"/>
          <w:szCs w:val="40"/>
          <w:lang w:val="sq-AL"/>
        </w:rPr>
        <w:t xml:space="preserve">: </w:t>
      </w:r>
    </w:p>
    <w:p w14:paraId="32A6B2F3" w14:textId="51DF6833" w:rsidR="002121DA" w:rsidRPr="0018465A" w:rsidRDefault="00C0556B" w:rsidP="00C0556B">
      <w:pPr>
        <w:spacing w:line="280" w:lineRule="auto"/>
        <w:jc w:val="center"/>
        <w:rPr>
          <w:b/>
          <w:sz w:val="28"/>
          <w:szCs w:val="28"/>
          <w:lang w:val="sq-AL"/>
        </w:rPr>
      </w:pPr>
      <w:r w:rsidRPr="0018465A">
        <w:rPr>
          <w:b/>
          <w:sz w:val="28"/>
          <w:szCs w:val="28"/>
          <w:lang w:val="sq-AL"/>
        </w:rPr>
        <w:t xml:space="preserve">Përgatitja e </w:t>
      </w:r>
      <w:r w:rsidR="002121DA" w:rsidRPr="0018465A">
        <w:rPr>
          <w:b/>
          <w:sz w:val="28"/>
          <w:szCs w:val="28"/>
          <w:lang w:val="sq-AL"/>
        </w:rPr>
        <w:t xml:space="preserve">dokumentacionit teknik për projekte infrastrukturore </w:t>
      </w:r>
    </w:p>
    <w:p w14:paraId="46F3CF19" w14:textId="77777777" w:rsidR="002121DA" w:rsidRDefault="002121DA" w:rsidP="00C0556B">
      <w:pPr>
        <w:spacing w:line="280" w:lineRule="auto"/>
        <w:jc w:val="center"/>
        <w:rPr>
          <w:b/>
          <w:u w:val="single"/>
          <w:lang w:val="sq-AL"/>
        </w:rPr>
      </w:pPr>
    </w:p>
    <w:p w14:paraId="300812FB" w14:textId="31B9FB8B" w:rsidR="00C0556B" w:rsidRDefault="00C0556B" w:rsidP="00C0556B">
      <w:pPr>
        <w:spacing w:line="280" w:lineRule="auto"/>
        <w:jc w:val="center"/>
        <w:rPr>
          <w:b/>
          <w:u w:val="single"/>
          <w:lang w:val="sq-AL"/>
        </w:rPr>
      </w:pPr>
      <w:r w:rsidRPr="00EF1E7B">
        <w:rPr>
          <w:b/>
          <w:u w:val="single"/>
          <w:lang w:val="sq-AL"/>
        </w:rPr>
        <w:t xml:space="preserve">“Fondi i Dokumentacionit Teknik” </w:t>
      </w:r>
    </w:p>
    <w:p w14:paraId="54B0947D" w14:textId="1FAD4A45" w:rsidR="002121DA" w:rsidRDefault="002121DA" w:rsidP="00C0556B">
      <w:pPr>
        <w:spacing w:line="280" w:lineRule="auto"/>
        <w:jc w:val="center"/>
        <w:rPr>
          <w:b/>
          <w:u w:val="single"/>
          <w:lang w:val="sq-AL"/>
        </w:rPr>
      </w:pPr>
    </w:p>
    <w:p w14:paraId="74B6CE0B" w14:textId="68171ACD" w:rsidR="002121DA" w:rsidRPr="002121DA" w:rsidRDefault="002121DA" w:rsidP="002121DA">
      <w:r w:rsidRPr="0018465A">
        <w:rPr>
          <w:i/>
          <w:lang w:val="sq-AL"/>
        </w:rPr>
        <w:t>Ndërtimi i kapaciteteve në komuna për përgatitjen dhe implementimin e projekteve të zhvillimit lokal</w:t>
      </w:r>
      <w:r w:rsidRPr="0018465A">
        <w:rPr>
          <w:i/>
          <w:lang w:val="sq-AL"/>
        </w:rPr>
        <w:br/>
      </w:r>
      <w:r w:rsidRPr="002121DA">
        <w:rPr>
          <w:lang w:val="sq-AL"/>
        </w:rPr>
        <w:br/>
      </w:r>
      <w:r>
        <w:rPr>
          <w:lang w:val="sq-AL"/>
        </w:rPr>
        <w:t xml:space="preserve">                                                                   </w:t>
      </w:r>
      <w:r w:rsidRPr="002121DA">
        <w:rPr>
          <w:lang w:val="sq-AL"/>
        </w:rPr>
        <w:t>24 qershor 2020</w:t>
      </w:r>
    </w:p>
    <w:p w14:paraId="40CD04C5" w14:textId="77777777" w:rsidR="00C0556B" w:rsidRPr="00EF1E7B" w:rsidRDefault="00C0556B" w:rsidP="00C0556B">
      <w:pPr>
        <w:rPr>
          <w:lang w:val="sq-AL"/>
        </w:rPr>
      </w:pPr>
    </w:p>
    <w:p w14:paraId="143CCE63" w14:textId="77777777" w:rsidR="00C0556B" w:rsidRPr="00EF1E7B" w:rsidRDefault="00C0556B" w:rsidP="00C0556B">
      <w:pPr>
        <w:spacing w:line="280" w:lineRule="auto"/>
        <w:jc w:val="center"/>
        <w:rPr>
          <w:b/>
          <w:sz w:val="32"/>
          <w:szCs w:val="32"/>
          <w:lang w:val="sq-AL"/>
        </w:rPr>
      </w:pPr>
    </w:p>
    <w:p w14:paraId="7BC6771D" w14:textId="77777777" w:rsidR="00C0556B" w:rsidRPr="00EF1E7B" w:rsidRDefault="00C0556B" w:rsidP="00C0556B">
      <w:pPr>
        <w:spacing w:line="280" w:lineRule="auto"/>
        <w:jc w:val="center"/>
        <w:rPr>
          <w:b/>
          <w:sz w:val="32"/>
          <w:szCs w:val="32"/>
          <w:lang w:val="sq-AL"/>
        </w:rPr>
      </w:pPr>
    </w:p>
    <w:p w14:paraId="07D49ADC" w14:textId="77777777" w:rsidR="00C0556B" w:rsidRPr="00EF1E7B" w:rsidRDefault="00C0556B" w:rsidP="00C0556B">
      <w:pPr>
        <w:spacing w:line="280" w:lineRule="auto"/>
        <w:jc w:val="center"/>
        <w:rPr>
          <w:b/>
          <w:sz w:val="32"/>
          <w:szCs w:val="32"/>
          <w:lang w:val="sq-AL"/>
        </w:rPr>
      </w:pPr>
    </w:p>
    <w:p w14:paraId="02459F33" w14:textId="77777777" w:rsidR="00C0556B" w:rsidRPr="00EF1E7B" w:rsidRDefault="00C0556B" w:rsidP="00C0556B">
      <w:pPr>
        <w:spacing w:line="280" w:lineRule="auto"/>
        <w:jc w:val="center"/>
        <w:rPr>
          <w:b/>
          <w:sz w:val="32"/>
          <w:szCs w:val="32"/>
          <w:lang w:val="sq-AL"/>
        </w:rPr>
      </w:pPr>
    </w:p>
    <w:p w14:paraId="43F9209F" w14:textId="77777777" w:rsidR="00C0556B" w:rsidRPr="00EF1E7B" w:rsidRDefault="00C0556B" w:rsidP="00C0556B">
      <w:pPr>
        <w:spacing w:line="280" w:lineRule="auto"/>
        <w:jc w:val="center"/>
        <w:rPr>
          <w:b/>
          <w:sz w:val="32"/>
          <w:szCs w:val="32"/>
          <w:lang w:val="sq-AL"/>
        </w:rPr>
      </w:pPr>
    </w:p>
    <w:p w14:paraId="47655D57" w14:textId="77777777" w:rsidR="00C0556B" w:rsidRPr="00EF1E7B" w:rsidRDefault="00C0556B" w:rsidP="00C0556B">
      <w:pPr>
        <w:spacing w:line="280" w:lineRule="auto"/>
        <w:jc w:val="center"/>
        <w:rPr>
          <w:b/>
          <w:sz w:val="32"/>
          <w:szCs w:val="32"/>
          <w:lang w:val="sq-AL"/>
        </w:rPr>
      </w:pPr>
      <w:r w:rsidRPr="00EF1E7B">
        <w:rPr>
          <w:b/>
          <w:sz w:val="32"/>
          <w:szCs w:val="32"/>
          <w:lang w:val="sq-AL"/>
        </w:rPr>
        <w:t>Udhëzime për aplikantë</w:t>
      </w:r>
    </w:p>
    <w:p w14:paraId="53506F24" w14:textId="77777777" w:rsidR="00CE7359" w:rsidRPr="00EF1E7B" w:rsidRDefault="00CE7359" w:rsidP="00EF1E7B">
      <w:pPr>
        <w:rPr>
          <w:lang w:val="sq-AL"/>
        </w:rPr>
      </w:pPr>
    </w:p>
    <w:p w14:paraId="1EB95263" w14:textId="20C89B4E" w:rsidR="005E7281" w:rsidRDefault="005E7281">
      <w:pPr>
        <w:rPr>
          <w:b/>
          <w:lang w:val="sq-AL"/>
        </w:rPr>
      </w:pPr>
      <w:bookmarkStart w:id="0" w:name="_Toc20757667"/>
      <w:r w:rsidRPr="00EF1E7B">
        <w:rPr>
          <w:b/>
          <w:lang w:val="sq-AL"/>
        </w:rPr>
        <w:br w:type="page"/>
      </w:r>
    </w:p>
    <w:p w14:paraId="4AFAB67C" w14:textId="54321B3B" w:rsidR="00D93FFA" w:rsidRDefault="00D93FFA">
      <w:pPr>
        <w:rPr>
          <w:b/>
          <w:lang w:val="sq-AL"/>
        </w:rPr>
      </w:pPr>
    </w:p>
    <w:p w14:paraId="214B818C" w14:textId="058DB9EC" w:rsidR="00D93FFA" w:rsidRDefault="00D93FFA">
      <w:pPr>
        <w:rPr>
          <w:b/>
          <w:lang w:val="sq-AL"/>
        </w:rPr>
      </w:pPr>
    </w:p>
    <w:p w14:paraId="29223C06" w14:textId="23BB0A3F" w:rsidR="00D93FFA" w:rsidRPr="00EF1E7B" w:rsidRDefault="00D93FFA">
      <w:pPr>
        <w:rPr>
          <w:b/>
          <w:lang w:val="sq-AL"/>
        </w:rPr>
      </w:pPr>
      <w:r w:rsidRPr="00D93FFA">
        <w:rPr>
          <w:b/>
          <w:lang w:val="sq-AL"/>
        </w:rPr>
        <w:t>Ju lutem</w:t>
      </w:r>
      <w:r>
        <w:rPr>
          <w:b/>
          <w:lang w:val="sq-AL"/>
        </w:rPr>
        <w:t>i lexoni në detaje udhëzimet dhe drejtimet</w:t>
      </w:r>
      <w:r w:rsidRPr="00D93FFA">
        <w:rPr>
          <w:b/>
          <w:lang w:val="sq-AL"/>
        </w:rPr>
        <w:t xml:space="preserve"> në këtë dokument.</w:t>
      </w:r>
    </w:p>
    <w:p w14:paraId="3542D143" w14:textId="77777777" w:rsidR="00C0556B" w:rsidRPr="00EF1E7B" w:rsidRDefault="00C0556B" w:rsidP="00EF1E7B">
      <w:pPr>
        <w:keepNext/>
        <w:keepLines/>
        <w:spacing w:before="240"/>
        <w:outlineLvl w:val="0"/>
        <w:rPr>
          <w:b/>
          <w:color w:val="000000" w:themeColor="text1"/>
          <w:sz w:val="28"/>
          <w:lang w:val="sq-AL"/>
        </w:rPr>
      </w:pPr>
      <w:r w:rsidRPr="00EF1E7B">
        <w:rPr>
          <w:b/>
          <w:color w:val="000000" w:themeColor="text1"/>
          <w:sz w:val="28"/>
          <w:lang w:val="sq-AL"/>
        </w:rPr>
        <w:t>1. INFORMACIONE THEMELORE PËR FONDIN E DOKUMENTACIONIT TEKNIK</w:t>
      </w:r>
      <w:bookmarkEnd w:id="0"/>
    </w:p>
    <w:p w14:paraId="5F62BE98" w14:textId="77777777" w:rsidR="00C0556B" w:rsidRPr="00EF1E7B" w:rsidRDefault="00C0556B" w:rsidP="00C0556B">
      <w:pPr>
        <w:spacing w:line="280" w:lineRule="auto"/>
        <w:jc w:val="both"/>
        <w:rPr>
          <w:b/>
          <w:lang w:val="sq-AL"/>
        </w:rPr>
      </w:pPr>
    </w:p>
    <w:p w14:paraId="6A36C374" w14:textId="77777777" w:rsidR="00C0556B" w:rsidRPr="00EF1E7B" w:rsidRDefault="00C0556B" w:rsidP="00C0556B">
      <w:pPr>
        <w:spacing w:line="280" w:lineRule="auto"/>
        <w:jc w:val="both"/>
        <w:rPr>
          <w:lang w:val="sq-AL"/>
        </w:rPr>
      </w:pPr>
      <w:bookmarkStart w:id="1" w:name="_Toc20757668"/>
      <w:r w:rsidRPr="00EF1E7B">
        <w:rPr>
          <w:b/>
          <w:lang w:val="sq-AL"/>
        </w:rPr>
        <w:t xml:space="preserve">1.1. </w:t>
      </w:r>
      <w:bookmarkEnd w:id="1"/>
      <w:r w:rsidRPr="00EF1E7B">
        <w:rPr>
          <w:b/>
          <w:lang w:val="sq-AL"/>
        </w:rPr>
        <w:t>Historiku</w:t>
      </w:r>
    </w:p>
    <w:p w14:paraId="51F52B1B" w14:textId="77777777" w:rsidR="00C0556B" w:rsidRPr="00EF1E7B" w:rsidRDefault="00C0556B" w:rsidP="00C0556B">
      <w:pPr>
        <w:rPr>
          <w:lang w:val="sq-AL"/>
        </w:rPr>
      </w:pPr>
    </w:p>
    <w:p w14:paraId="45838F36" w14:textId="77777777" w:rsidR="00C0556B" w:rsidRPr="00EF1E7B" w:rsidRDefault="00C0556B" w:rsidP="00C0556B">
      <w:pPr>
        <w:spacing w:line="280" w:lineRule="auto"/>
        <w:ind w:firstLine="708"/>
        <w:jc w:val="both"/>
        <w:rPr>
          <w:lang w:val="sq-AL"/>
        </w:rPr>
      </w:pPr>
      <w:r w:rsidRPr="00EF1E7B">
        <w:rPr>
          <w:lang w:val="sq-AL"/>
        </w:rPr>
        <w:t xml:space="preserve">Në nëntor të vitit 2018 UNDP-ja dhe Agjencia Zvicerane e Zhvillimit Ndërkombëtar (SIDA) nënshkruan Dokumentin projektues me çka u shënua fillimi i implementimit të Projektit </w:t>
      </w:r>
      <w:r w:rsidRPr="00EF1E7B">
        <w:rPr>
          <w:i/>
          <w:lang w:val="sq-AL"/>
        </w:rPr>
        <w:t>“Ndërtimi i kapaciteteve komunale për implementim projektesh”.</w:t>
      </w:r>
      <w:r w:rsidRPr="00EF1E7B">
        <w:rPr>
          <w:lang w:val="sq-AL"/>
        </w:rPr>
        <w:t xml:space="preserve"> Një nga tre qëllimet kryesore të këtij projekti është përcaktimi, vendosja dhe menaxhimi me </w:t>
      </w:r>
      <w:r w:rsidRPr="00EF1E7B">
        <w:rPr>
          <w:b/>
          <w:lang w:val="sq-AL"/>
        </w:rPr>
        <w:t xml:space="preserve">Fondin e dokumentacionit teknik </w:t>
      </w:r>
      <w:r w:rsidRPr="00EF1E7B">
        <w:rPr>
          <w:lang w:val="sq-AL"/>
        </w:rPr>
        <w:t>që do të sigurojë burimet financiare që u janë të nevojshme komunave më pak të zhvilluara për t’i përfunduar punët e patjetërsueshme përgatitore (përfshi planet urbanistike) për përpunimin e projekteve me të cilat mund të konkurojnë në fondet e BE-së, nga shteti ose donatorë tjerë, qoftë nëpërmjet granteve të drejtpërdrejta ose me kredi me normë të ulët interesi. Me rihapjen e negociatave të pranimit në BE, pas vendimeve të Këshillit të Çështjeve të Përgjithshme në Mars 2020 dhe miratimit nga Këshilli Evropian, perspektivat e Maqedonisë së Veriut  e rritin rolin e saj si përfituese e fondeve të ndryshme të zhvillimit të BE-së janë bërë më shumë substanciale. Për këtë arsye, rëndësia për të përgatitur projekte zhvillimore të mira është rritur.</w:t>
      </w:r>
    </w:p>
    <w:p w14:paraId="6319F3BD" w14:textId="77777777" w:rsidR="00C0556B" w:rsidRPr="00EF1E7B" w:rsidRDefault="00C0556B" w:rsidP="00C0556B">
      <w:pPr>
        <w:spacing w:line="280" w:lineRule="auto"/>
        <w:ind w:firstLine="708"/>
        <w:jc w:val="both"/>
        <w:rPr>
          <w:lang w:val="sq-AL"/>
        </w:rPr>
      </w:pPr>
      <w:r w:rsidRPr="00EF1E7B">
        <w:rPr>
          <w:lang w:val="sq-AL"/>
        </w:rPr>
        <w:t xml:space="preserve">Nga projektet gjithashtu pritet të krijohet Indeksi Komunal i Zhvillimit, mjet që do t’i ndihmojë Qeverisë, donatorëve dhe palëve tjera të përfshira në politikën rajonale zhvillimore që të përcaktojnë se cilat janë rajonet më pak të zhvilluara sipas grupit të treguesve në bazë të të dhënave statistikore zyrtare dhe të dhënave të tjera në dispozicion. Përfshirja e aspekteve gjinore në rrjedhat kryesore do të merret parasysh në të gjitha aspektet e implementimit të projektit, si dhe të dhënat e ndara të aspektit gjinor, me qëllim të identifikimit të dallimeve ndërmjet nevojave dhe prioriteteve të burrave dhe grave. </w:t>
      </w:r>
    </w:p>
    <w:p w14:paraId="75A893CA" w14:textId="77777777" w:rsidR="00C0556B" w:rsidRPr="00EF1E7B" w:rsidRDefault="00C0556B" w:rsidP="00C0556B">
      <w:pPr>
        <w:spacing w:line="280" w:lineRule="auto"/>
        <w:ind w:firstLine="708"/>
        <w:jc w:val="both"/>
        <w:rPr>
          <w:lang w:val="sq-AL"/>
        </w:rPr>
      </w:pPr>
      <w:r w:rsidRPr="00EF1E7B">
        <w:rPr>
          <w:lang w:val="sq-AL"/>
        </w:rPr>
        <w:t xml:space="preserve">Rezultatet e Thirrjes së parë për propozime mund të gjenden në </w:t>
      </w:r>
      <w:r w:rsidRPr="009E614C">
        <w:rPr>
          <w:u w:val="single"/>
          <w:lang w:val="sq-AL"/>
        </w:rPr>
        <w:t>https://golocal.mk/wp-content/uploads/2020/03/Rezultati-od-prviot-povik-1.pdf.</w:t>
      </w:r>
      <w:r w:rsidRPr="00EF1E7B">
        <w:rPr>
          <w:lang w:val="sq-AL"/>
        </w:rPr>
        <w:t xml:space="preserve"> Pas reagimeve nga aplikantët (potencialë) dhe institucionet e tjera, ekipi i Projektit ka vendosur të prezantojë azhurnimet dhe ndryshimet e mëposhtme në Thirrjen e dytë:</w:t>
      </w:r>
    </w:p>
    <w:p w14:paraId="5F3AAF6E" w14:textId="24610EE3" w:rsidR="00C0556B" w:rsidRPr="00EF1E7B" w:rsidRDefault="00C0556B" w:rsidP="00C0556B">
      <w:pPr>
        <w:spacing w:line="280" w:lineRule="auto"/>
        <w:ind w:firstLine="708"/>
        <w:jc w:val="both"/>
        <w:rPr>
          <w:lang w:val="sq-AL"/>
        </w:rPr>
      </w:pPr>
      <w:r w:rsidRPr="00EF1E7B">
        <w:rPr>
          <w:lang w:val="sq-AL"/>
        </w:rPr>
        <w:t>• Kompanitë e shërbimeve publike dhe entitetet e tjera publike, të zotëruara ose të kontrolluara nga komunat, kanë të drejtë si partnerë zbatues në aplikime, por kjo partneritet nuk mund të grumbullojë fonde shtesë për grante, si në rastet e bashkëpunimit ndër-komunal;</w:t>
      </w:r>
      <w:r w:rsidR="009E614C" w:rsidRPr="009E614C">
        <w:rPr>
          <w:lang w:val="sq-AL"/>
        </w:rPr>
        <w:t xml:space="preserve"> </w:t>
      </w:r>
      <w:r w:rsidR="009E614C">
        <w:rPr>
          <w:lang w:val="sq-AL"/>
        </w:rPr>
        <w:t>Një ndërmarrje</w:t>
      </w:r>
      <w:r w:rsidR="009E614C" w:rsidRPr="009E614C">
        <w:rPr>
          <w:lang w:val="sq-AL"/>
        </w:rPr>
        <w:t xml:space="preserve"> e shërbimeve publike mund të jetë përfituese e projektit, por aplikim</w:t>
      </w:r>
      <w:r w:rsidR="009E614C">
        <w:rPr>
          <w:lang w:val="sq-AL"/>
        </w:rPr>
        <w:t>i duhet të paraqitet nga komuna</w:t>
      </w:r>
      <w:r w:rsidR="009E614C" w:rsidRPr="009E614C">
        <w:rPr>
          <w:lang w:val="sq-AL"/>
        </w:rPr>
        <w:t>;</w:t>
      </w:r>
    </w:p>
    <w:p w14:paraId="69690353" w14:textId="7CB05D3F" w:rsidR="00C0556B" w:rsidRPr="009E614C" w:rsidRDefault="00C0556B" w:rsidP="009E614C">
      <w:pPr>
        <w:spacing w:line="280" w:lineRule="auto"/>
        <w:ind w:firstLine="708"/>
        <w:jc w:val="both"/>
        <w:rPr>
          <w:lang w:val="sq-AL"/>
        </w:rPr>
      </w:pPr>
      <w:r w:rsidRPr="00EF1E7B">
        <w:rPr>
          <w:lang w:val="sq-AL"/>
        </w:rPr>
        <w:t>• Qendrat për zhvillimin e rajoneve të planifikimit (në tekstin e mëtejmë "Qendrat Rajonale") kanë të drejtë të aplikojnë, dhe aplikimet e tyre do të trajtohen si projekte të bashkëpu</w:t>
      </w:r>
      <w:r w:rsidR="009E614C">
        <w:rPr>
          <w:lang w:val="sq-AL"/>
        </w:rPr>
        <w:t xml:space="preserve">nimit rajonal dhe ndër-komunal </w:t>
      </w:r>
      <w:r w:rsidR="009E614C">
        <w:rPr>
          <w:lang w:val="mk-MK"/>
        </w:rPr>
        <w:t>sipas listës së posaçme të kritereve</w:t>
      </w:r>
      <w:r w:rsidR="009E614C" w:rsidRPr="009E614C">
        <w:rPr>
          <w:lang w:val="mk-MK"/>
        </w:rPr>
        <w:t>.</w:t>
      </w:r>
    </w:p>
    <w:p w14:paraId="7CB1645C" w14:textId="77777777" w:rsidR="00C0556B" w:rsidRPr="00EF1E7B" w:rsidRDefault="00C0556B" w:rsidP="00C0556B">
      <w:pPr>
        <w:spacing w:line="280" w:lineRule="auto"/>
        <w:ind w:firstLine="708"/>
        <w:jc w:val="both"/>
        <w:rPr>
          <w:lang w:val="sq-AL"/>
        </w:rPr>
      </w:pPr>
      <w:r w:rsidRPr="00EF1E7B">
        <w:rPr>
          <w:lang w:val="sq-AL"/>
        </w:rPr>
        <w:t>• Komunat që tashmë kanë paraqitur aplikimet e tyre në Thirrjen e parë (të suksesshme ose jo) mund të paraqesin përsëri kërkesat e tyre, në secilin modalitet të pranueshëm, por përparësia në vlerësim dhe dhënie do t'u jepet atyre që nuk kanë aplikuar dhe as kanë marrë mbështetje në  thirrjen e parë.</w:t>
      </w:r>
    </w:p>
    <w:p w14:paraId="3C641C20" w14:textId="19118717" w:rsidR="00C0556B" w:rsidRPr="00274F9E" w:rsidRDefault="00C0556B" w:rsidP="00C0556B">
      <w:pPr>
        <w:spacing w:line="280" w:lineRule="auto"/>
        <w:ind w:firstLine="708"/>
        <w:jc w:val="both"/>
        <w:rPr>
          <w:u w:val="single"/>
          <w:lang w:val="sq-AL"/>
        </w:rPr>
      </w:pPr>
      <w:r w:rsidRPr="00EF1E7B">
        <w:rPr>
          <w:lang w:val="sq-AL"/>
        </w:rPr>
        <w:lastRenderedPageBreak/>
        <w:t>Sidoqoftë, cilësia e propozimeve të projektit dhe rëndësia e tyre mbeten kriteret më të rëndësishme për përzgjedhje</w:t>
      </w:r>
      <w:r w:rsidR="00274F9E">
        <w:rPr>
          <w:lang w:val="sq-AL"/>
        </w:rPr>
        <w:t>.</w:t>
      </w:r>
      <w:r w:rsidR="00274F9E" w:rsidRPr="00274F9E">
        <w:rPr>
          <w:lang w:val="sq-AL"/>
        </w:rPr>
        <w:t xml:space="preserve"> Për të gjitha pyetjet në lidhje me kualifikimin, ju lu</w:t>
      </w:r>
      <w:r w:rsidR="00274F9E">
        <w:rPr>
          <w:lang w:val="sq-AL"/>
        </w:rPr>
        <w:t>temi vizitoni faqen për pyetjet e parashtruara</w:t>
      </w:r>
      <w:r w:rsidR="00274F9E" w:rsidRPr="00274F9E">
        <w:rPr>
          <w:lang w:val="sq-AL"/>
        </w:rPr>
        <w:t xml:space="preserve"> shpesh në uebfaqen e projektit </w:t>
      </w:r>
      <w:r w:rsidR="00274F9E" w:rsidRPr="00274F9E">
        <w:rPr>
          <w:u w:val="single"/>
          <w:lang w:val="sq-AL"/>
        </w:rPr>
        <w:t>www.lokalenrazvoj.mk.</w:t>
      </w:r>
    </w:p>
    <w:p w14:paraId="6797D775" w14:textId="6ACC0806" w:rsidR="00C0556B" w:rsidRPr="00EF1E7B" w:rsidRDefault="00C0556B" w:rsidP="00C0556B">
      <w:pPr>
        <w:rPr>
          <w:lang w:val="sq-AL"/>
        </w:rPr>
      </w:pPr>
    </w:p>
    <w:p w14:paraId="305CBFC6" w14:textId="77777777" w:rsidR="009F20ED" w:rsidRPr="00EF1E7B" w:rsidRDefault="009F20ED" w:rsidP="00C0556B">
      <w:pPr>
        <w:rPr>
          <w:lang w:val="sq-AL"/>
        </w:rPr>
      </w:pPr>
    </w:p>
    <w:p w14:paraId="015D8693" w14:textId="77777777" w:rsidR="00C0556B" w:rsidRPr="00EF1E7B" w:rsidRDefault="00C0556B" w:rsidP="00EF1E7B">
      <w:pPr>
        <w:rPr>
          <w:b/>
          <w:lang w:val="sq-AL"/>
        </w:rPr>
      </w:pPr>
      <w:bookmarkStart w:id="2" w:name="_Toc20757669"/>
      <w:r w:rsidRPr="00EF1E7B">
        <w:rPr>
          <w:b/>
          <w:lang w:val="sq-AL"/>
        </w:rPr>
        <w:t>1.2. Parimet, qëllimet dhe prioritetet e Fondit</w:t>
      </w:r>
      <w:bookmarkEnd w:id="2"/>
    </w:p>
    <w:p w14:paraId="3EE6B452" w14:textId="77777777" w:rsidR="00917A25" w:rsidRPr="00EF1E7B" w:rsidRDefault="00917A25">
      <w:pPr>
        <w:rPr>
          <w:lang w:val="sq-AL"/>
        </w:rPr>
      </w:pPr>
    </w:p>
    <w:p w14:paraId="10453366" w14:textId="10854B18" w:rsidR="00C0556B" w:rsidRPr="00EF1E7B" w:rsidRDefault="00C0556B" w:rsidP="00EF1E7B">
      <w:pPr>
        <w:ind w:firstLine="708"/>
        <w:jc w:val="both"/>
        <w:rPr>
          <w:lang w:val="sq-AL"/>
        </w:rPr>
      </w:pPr>
      <w:r w:rsidRPr="00EF1E7B">
        <w:rPr>
          <w:lang w:val="sq-AL"/>
        </w:rPr>
        <w:t>Një nga problemet më të mëdha me të cilat përballen komunat në Maqedoninë e Veriut në një cikël tipik proektues</w:t>
      </w:r>
      <w:r w:rsidRPr="00EF1E7B">
        <w:rPr>
          <w:vertAlign w:val="superscript"/>
          <w:lang w:val="sq-AL"/>
        </w:rPr>
        <w:footnoteReference w:id="2"/>
      </w:r>
      <w:r w:rsidRPr="00EF1E7B">
        <w:rPr>
          <w:lang w:val="sq-AL"/>
        </w:rPr>
        <w:t xml:space="preserve"> është faza e “formulimit”. Kjo fazë në ciklin projektues kërkon përgatitje komplekse të projekteve zhvillimore  me qëllim të fitimit të mjeteve financiare, sidomos ato projekte që sigurojnë shfrytëzim afatgjatë dhe rezultate (krahas mandatit politik mesatar). Gjithashtu, duhet të merren parasysh edhe të gjitha fazat tjera të ciklit projektues, prandaj forcimi i kapaciteteve të formulimit të projekteve zhvillimore cilësore do të kontribuojë në trajtimin më të mirë të ciklit të përgjithshëm projektues. Dokumentet projektuese, siç janë planet afariste, studimet e fizibilitetit, vlerësimi i ndikimit në mjedisin jetësor, projektet ndërtuese (të gjitha fazat, përfshi punët inxhinjerike, instalimet elektrike, ngrohja dhe furnizimi me ujë, etj.) planet arkitektonike dhe urbanistike/rurale dhe studimet e planifikimit, lëndët dhe dokumentet e ngjashme kërkojnë burime të konsiderueshme. Kjo do të thotë se përpjekja më e madhe në fazën e formulimit të projekteve zhvillimore të besueshme mund të shkaktojnë ndikim më të madh të papërpjestueshëm në zhvillim pasi që të implementohen. Kjo posaçërisht ka të bëjë me projekte </w:t>
      </w:r>
      <w:r w:rsidR="00573050">
        <w:rPr>
          <w:lang w:val="sq-AL"/>
        </w:rPr>
        <w:t xml:space="preserve">rajonale dhe </w:t>
      </w:r>
      <w:r w:rsidRPr="00EF1E7B">
        <w:rPr>
          <w:lang w:val="sq-AL"/>
        </w:rPr>
        <w:t xml:space="preserve">të përbashkëta me ndikim midis dy ose më shumë komunave, ku qendrat rajonale mund të marrin drejtimin në formulim, si dhe fazat </w:t>
      </w:r>
      <w:r w:rsidR="002A7CAE">
        <w:rPr>
          <w:lang w:val="sq-AL"/>
        </w:rPr>
        <w:t>e furnizimit (prokurimit) dh</w:t>
      </w:r>
      <w:r w:rsidRPr="00EF1E7B">
        <w:rPr>
          <w:lang w:val="sq-AL"/>
        </w:rPr>
        <w:t>e zbatimit, me efektin e pritshëm të transferimit të njohurive dhe aftësive në nivelin komunal, me pjesëmarrje aktive.</w:t>
      </w:r>
    </w:p>
    <w:p w14:paraId="49D179CA" w14:textId="77777777" w:rsidR="00C0556B" w:rsidRPr="00EF1E7B" w:rsidRDefault="00C0556B" w:rsidP="00EF1E7B">
      <w:pPr>
        <w:ind w:firstLine="708"/>
        <w:jc w:val="both"/>
        <w:rPr>
          <w:lang w:val="sq-AL"/>
        </w:rPr>
      </w:pPr>
      <w:r w:rsidRPr="00EF1E7B">
        <w:rPr>
          <w:lang w:val="sq-AL"/>
        </w:rPr>
        <w:t>Qëllimi i Fondit të Dokumentacionit Teknik është rritja e kapacitetit të komunave në përgatitjen e projekteve zhvillimore themelore dhe më të ndërlikuara (infrastrukturore) që do të përgatiten të financohen nga burime të tjera.</w:t>
      </w:r>
    </w:p>
    <w:p w14:paraId="043A1AE5" w14:textId="77777777" w:rsidR="00C0556B" w:rsidRPr="00EF1E7B" w:rsidRDefault="00C0556B" w:rsidP="00EF1E7B">
      <w:pPr>
        <w:rPr>
          <w:lang w:val="sq-AL"/>
        </w:rPr>
      </w:pPr>
      <w:r w:rsidRPr="00EF1E7B">
        <w:rPr>
          <w:lang w:val="sq-AL"/>
        </w:rPr>
        <w:t>Qëllimet konkrete të Fondit të Dokumentimit Teknik janë:</w:t>
      </w:r>
    </w:p>
    <w:p w14:paraId="442674DE" w14:textId="77777777" w:rsidR="00C0556B" w:rsidRPr="00EF1E7B" w:rsidRDefault="00C0556B" w:rsidP="00EF1E7B">
      <w:pPr>
        <w:numPr>
          <w:ilvl w:val="0"/>
          <w:numId w:val="1"/>
        </w:numPr>
        <w:rPr>
          <w:lang w:val="sq-AL"/>
        </w:rPr>
      </w:pPr>
      <w:r w:rsidRPr="00EF1E7B">
        <w:rPr>
          <w:lang w:val="sq-AL"/>
        </w:rPr>
        <w:t>Forcimi i kapacitetit komunal për zhvillim, financim dhe implementim të projekteve cilësore të zhvillimit lokal, si dhe për të zhvilluar aftësinë e tyre për të marrë pjesë në të gjitha fazat e projekteve më komplekse që kontribuojnë në një zhvillim më të gjerë rajonal;</w:t>
      </w:r>
    </w:p>
    <w:p w14:paraId="125E52E6" w14:textId="77777777" w:rsidR="00C0556B" w:rsidRPr="00EF1E7B" w:rsidRDefault="00C0556B" w:rsidP="00EF1E7B">
      <w:pPr>
        <w:numPr>
          <w:ilvl w:val="0"/>
          <w:numId w:val="1"/>
        </w:numPr>
        <w:rPr>
          <w:lang w:val="sq-AL"/>
        </w:rPr>
      </w:pPr>
      <w:r w:rsidRPr="00EF1E7B">
        <w:rPr>
          <w:lang w:val="sq-AL"/>
        </w:rPr>
        <w:t>të sigurohet financim urgjent i atyre që më së shumëti kanë nevojë të përgatitin projekte, në pritje të instrumenteve tjera financiare për këtë qëllim;</w:t>
      </w:r>
    </w:p>
    <w:p w14:paraId="479F0AC2" w14:textId="77777777" w:rsidR="00C0556B" w:rsidRPr="00EF1E7B" w:rsidRDefault="00C0556B" w:rsidP="00EF1E7B">
      <w:pPr>
        <w:numPr>
          <w:ilvl w:val="0"/>
          <w:numId w:val="1"/>
        </w:numPr>
        <w:rPr>
          <w:lang w:val="sq-AL"/>
        </w:rPr>
      </w:pPr>
      <w:r w:rsidRPr="00EF1E7B">
        <w:rPr>
          <w:lang w:val="sq-AL"/>
        </w:rPr>
        <w:t>të promovohen Indeksi i Zhvillimit Komunal dhe Qëllimet e Zhvillimit të Qëndrueshëm (QZHQ), si dhe treguesit që ndërlidhen me ato, si elementë të planifikimit dhe implementimit të politikave të baraspeshuara dhe të qëndrueshme dhe masave të zhvillimit rajonal dhe rural.</w:t>
      </w:r>
    </w:p>
    <w:p w14:paraId="3B6CA013" w14:textId="77777777" w:rsidR="00C0556B" w:rsidRPr="00EF1E7B" w:rsidRDefault="00C0556B" w:rsidP="00EF1E7B">
      <w:pPr>
        <w:numPr>
          <w:ilvl w:val="0"/>
          <w:numId w:val="1"/>
        </w:numPr>
        <w:rPr>
          <w:lang w:val="sq-AL"/>
        </w:rPr>
      </w:pPr>
      <w:r w:rsidRPr="00EF1E7B">
        <w:rPr>
          <w:lang w:val="sq-AL"/>
        </w:rPr>
        <w:t xml:space="preserve">të përmirësohet më tej cilësia e jetës së grave dhe burrave, mbi të gjitha te komunat më pak të zhvilluara dhe grupet më të cenueshme sociale. </w:t>
      </w:r>
    </w:p>
    <w:p w14:paraId="0AAD3DB4" w14:textId="77777777" w:rsidR="0019024B" w:rsidRPr="00EF1E7B" w:rsidRDefault="0019024B" w:rsidP="00EF1E7B">
      <w:pPr>
        <w:rPr>
          <w:b/>
          <w:lang w:val="sq-AL"/>
        </w:rPr>
      </w:pPr>
    </w:p>
    <w:p w14:paraId="2879888A" w14:textId="77777777" w:rsidR="00C0556B" w:rsidRPr="00EF1E7B" w:rsidRDefault="00C0556B" w:rsidP="00C0556B">
      <w:pPr>
        <w:rPr>
          <w:b/>
          <w:lang w:val="sq-AL"/>
        </w:rPr>
      </w:pPr>
      <w:bookmarkStart w:id="3" w:name="_Toc20757670"/>
      <w:r w:rsidRPr="00EF1E7B">
        <w:rPr>
          <w:b/>
          <w:lang w:val="sq-AL"/>
        </w:rPr>
        <w:lastRenderedPageBreak/>
        <w:t xml:space="preserve">1.3. Qëllimet e zhvillimit të qëndrueshëm </w:t>
      </w:r>
    </w:p>
    <w:p w14:paraId="642E6E0F" w14:textId="644BC380" w:rsidR="0019024B" w:rsidRPr="00EF1E7B" w:rsidRDefault="0019024B" w:rsidP="0019024B">
      <w:pPr>
        <w:rPr>
          <w:b/>
          <w:lang w:val="sq-AL"/>
        </w:rPr>
      </w:pPr>
    </w:p>
    <w:p w14:paraId="31DFB9EE" w14:textId="4B4E8563" w:rsidR="0019024B" w:rsidRPr="00EF1E7B" w:rsidRDefault="00C0556B" w:rsidP="00EF1E7B">
      <w:pPr>
        <w:spacing w:line="240" w:lineRule="auto"/>
        <w:rPr>
          <w:lang w:val="sq-AL"/>
        </w:rPr>
      </w:pPr>
      <w:r w:rsidRPr="00EF1E7B">
        <w:rPr>
          <w:lang w:val="sq-AL"/>
        </w:rPr>
        <w:t>Qëllimet e zhvillimit të qëndrueshëm dhe treguesit e duhur shërbejnë në përcaktimin e llojeve të projekteve dhe sferat nga ku do të mund të fitonin mjete për përgatitje të dokumentimit teknik. Treguesit përzgjidhen në mënyrë që të jenë në harmoni me qëllimet kryesore të projektit, kurse ato me të cilat Republika e Maqedonisë së Veriut arriti përparim të pamjaftueshëm shënohen me (!):</w:t>
      </w:r>
    </w:p>
    <w:p w14:paraId="10F3C93C" w14:textId="0A74561B" w:rsidR="00C0556B" w:rsidRPr="00EF1E7B" w:rsidRDefault="00C0556B" w:rsidP="00EF1E7B">
      <w:pPr>
        <w:spacing w:line="240" w:lineRule="auto"/>
        <w:rPr>
          <w:u w:val="single"/>
          <w:lang w:val="sq-AL"/>
        </w:rPr>
      </w:pPr>
      <w:r w:rsidRPr="00EF1E7B">
        <w:rPr>
          <w:u w:val="single"/>
          <w:lang w:val="sq-AL"/>
        </w:rPr>
        <w:t>QZHQ 11: Qytete dhe bashkësi të qëndrueshme</w:t>
      </w:r>
    </w:p>
    <w:p w14:paraId="22697C73" w14:textId="5D5BC20D" w:rsidR="008C64DE" w:rsidRPr="00EF1E7B" w:rsidRDefault="008C64DE" w:rsidP="00EF1E7B">
      <w:pPr>
        <w:rPr>
          <w:lang w:val="sq-AL"/>
        </w:rPr>
      </w:pPr>
      <w:r w:rsidRPr="00EF1E7B">
        <w:rPr>
          <w:lang w:val="sq-AL"/>
        </w:rPr>
        <w:t>Treguesit:</w:t>
      </w:r>
    </w:p>
    <w:p w14:paraId="43D81A20" w14:textId="77777777" w:rsidR="008C64DE" w:rsidRPr="00EF1E7B" w:rsidRDefault="008C64DE" w:rsidP="00EF1E7B">
      <w:pPr>
        <w:numPr>
          <w:ilvl w:val="0"/>
          <w:numId w:val="19"/>
        </w:numPr>
        <w:rPr>
          <w:lang w:val="sq-AL"/>
        </w:rPr>
      </w:pPr>
      <w:r w:rsidRPr="00EF1E7B">
        <w:rPr>
          <w:b/>
          <w:lang w:val="sq-AL"/>
        </w:rPr>
        <w:t xml:space="preserve">(!) </w:t>
      </w:r>
      <w:r w:rsidRPr="00EF1E7B">
        <w:rPr>
          <w:lang w:val="sq-AL"/>
        </w:rPr>
        <w:t xml:space="preserve">Koncentrimi vjetor mesatar i grimcave me diametër më të vogël se 2.5 mikronë (μg/m3) </w:t>
      </w:r>
    </w:p>
    <w:p w14:paraId="546F0900" w14:textId="77777777" w:rsidR="008C64DE" w:rsidRPr="00EF1E7B" w:rsidRDefault="008C64DE" w:rsidP="00EF1E7B">
      <w:pPr>
        <w:numPr>
          <w:ilvl w:val="0"/>
          <w:numId w:val="19"/>
        </w:numPr>
        <w:rPr>
          <w:lang w:val="sq-AL"/>
        </w:rPr>
      </w:pPr>
      <w:r w:rsidRPr="00EF1E7B">
        <w:rPr>
          <w:lang w:val="sq-AL"/>
        </w:rPr>
        <w:t xml:space="preserve">Qasja te burimi i ujit të sigurtë, me tuba (%) </w:t>
      </w:r>
    </w:p>
    <w:p w14:paraId="42B93ADD" w14:textId="77777777" w:rsidR="008C64DE" w:rsidRPr="00EF1E7B" w:rsidRDefault="008C64DE" w:rsidP="00EF1E7B">
      <w:pPr>
        <w:numPr>
          <w:ilvl w:val="0"/>
          <w:numId w:val="19"/>
        </w:numPr>
        <w:rPr>
          <w:lang w:val="sq-AL"/>
        </w:rPr>
      </w:pPr>
      <w:r w:rsidRPr="00EF1E7B">
        <w:rPr>
          <w:b/>
          <w:lang w:val="sq-AL"/>
        </w:rPr>
        <w:t>(!)</w:t>
      </w:r>
      <w:r w:rsidRPr="00EF1E7B">
        <w:rPr>
          <w:lang w:val="sq-AL"/>
        </w:rPr>
        <w:t xml:space="preserve"> Kënaqësia me transportin publik (%)</w:t>
      </w:r>
    </w:p>
    <w:p w14:paraId="5713FF69" w14:textId="77777777" w:rsidR="008C64DE" w:rsidRPr="00EF1E7B" w:rsidRDefault="008C64DE" w:rsidP="00EF1E7B">
      <w:pPr>
        <w:rPr>
          <w:lang w:val="sq-AL"/>
        </w:rPr>
      </w:pPr>
    </w:p>
    <w:p w14:paraId="353A31CB" w14:textId="77777777" w:rsidR="008C64DE" w:rsidRPr="00EF1E7B" w:rsidRDefault="008C64DE" w:rsidP="00EF1E7B">
      <w:pPr>
        <w:rPr>
          <w:u w:val="single"/>
          <w:lang w:val="sq-AL"/>
        </w:rPr>
      </w:pPr>
      <w:r w:rsidRPr="00EF1E7B">
        <w:rPr>
          <w:u w:val="single"/>
          <w:lang w:val="sq-AL"/>
        </w:rPr>
        <w:t>QZHQ 4: Arsim cilësor</w:t>
      </w:r>
    </w:p>
    <w:p w14:paraId="1494F9A3" w14:textId="77777777" w:rsidR="008C64DE" w:rsidRPr="00EF1E7B" w:rsidRDefault="008C64DE" w:rsidP="00EF1E7B">
      <w:pPr>
        <w:rPr>
          <w:lang w:val="sq-AL"/>
        </w:rPr>
      </w:pPr>
      <w:r w:rsidRPr="00EF1E7B">
        <w:rPr>
          <w:lang w:val="sq-AL"/>
        </w:rPr>
        <w:t>Tregues:</w:t>
      </w:r>
    </w:p>
    <w:p w14:paraId="3239A13B" w14:textId="77777777" w:rsidR="008C64DE" w:rsidRPr="00EF1E7B" w:rsidRDefault="008C64DE" w:rsidP="00EF1E7B">
      <w:pPr>
        <w:numPr>
          <w:ilvl w:val="0"/>
          <w:numId w:val="20"/>
        </w:numPr>
        <w:rPr>
          <w:lang w:val="sq-AL"/>
        </w:rPr>
      </w:pPr>
      <w:r w:rsidRPr="00EF1E7B">
        <w:rPr>
          <w:b/>
          <w:lang w:val="sq-AL"/>
        </w:rPr>
        <w:t xml:space="preserve">(!) </w:t>
      </w:r>
      <w:r w:rsidRPr="00EF1E7B">
        <w:rPr>
          <w:lang w:val="sq-AL"/>
        </w:rPr>
        <w:t>Norma e përgjithshme e regjistrimit të fëmijëve në shkolla fillore (%)</w:t>
      </w:r>
    </w:p>
    <w:p w14:paraId="67EB250E" w14:textId="77777777" w:rsidR="008C64DE" w:rsidRPr="00EF1E7B" w:rsidRDefault="008C64DE" w:rsidP="00EF1E7B">
      <w:pPr>
        <w:numPr>
          <w:ilvl w:val="0"/>
          <w:numId w:val="20"/>
        </w:numPr>
        <w:rPr>
          <w:lang w:val="sq-AL"/>
        </w:rPr>
      </w:pPr>
      <w:r w:rsidRPr="00EF1E7B">
        <w:rPr>
          <w:b/>
          <w:lang w:val="sq-AL"/>
        </w:rPr>
        <w:t>(!)</w:t>
      </w:r>
      <w:r w:rsidRPr="00EF1E7B">
        <w:rPr>
          <w:lang w:val="sq-AL"/>
        </w:rPr>
        <w:t xml:space="preserve"> Norma e përfundimit të arsimit të mesëm (%)</w:t>
      </w:r>
    </w:p>
    <w:p w14:paraId="42F97502" w14:textId="77777777" w:rsidR="008C64DE" w:rsidRPr="00EF1E7B" w:rsidRDefault="008C64DE" w:rsidP="00EF1E7B">
      <w:pPr>
        <w:rPr>
          <w:u w:val="single"/>
          <w:lang w:val="sq-AL"/>
        </w:rPr>
      </w:pPr>
    </w:p>
    <w:p w14:paraId="770AAF48" w14:textId="77777777" w:rsidR="008C64DE" w:rsidRPr="00EF1E7B" w:rsidRDefault="008C64DE" w:rsidP="00EF1E7B">
      <w:pPr>
        <w:rPr>
          <w:u w:val="single"/>
          <w:lang w:val="sq-AL"/>
        </w:rPr>
      </w:pPr>
      <w:r w:rsidRPr="00EF1E7B">
        <w:rPr>
          <w:u w:val="single"/>
          <w:lang w:val="sq-AL"/>
        </w:rPr>
        <w:t xml:space="preserve">QZHQ 5: Barazia gjinore </w:t>
      </w:r>
    </w:p>
    <w:p w14:paraId="6FF34A06" w14:textId="77777777" w:rsidR="008C64DE" w:rsidRPr="00EF1E7B" w:rsidRDefault="008C64DE" w:rsidP="00EF1E7B">
      <w:pPr>
        <w:rPr>
          <w:lang w:val="sq-AL"/>
        </w:rPr>
      </w:pPr>
      <w:r w:rsidRPr="00EF1E7B">
        <w:rPr>
          <w:lang w:val="sq-AL"/>
        </w:rPr>
        <w:t>Tregues:</w:t>
      </w:r>
    </w:p>
    <w:p w14:paraId="636BC588" w14:textId="77777777" w:rsidR="008C64DE" w:rsidRPr="00EF1E7B" w:rsidRDefault="008C64DE" w:rsidP="00EF1E7B">
      <w:pPr>
        <w:numPr>
          <w:ilvl w:val="0"/>
          <w:numId w:val="21"/>
        </w:numPr>
        <w:rPr>
          <w:lang w:val="sq-AL"/>
        </w:rPr>
      </w:pPr>
      <w:r w:rsidRPr="00EF1E7B">
        <w:rPr>
          <w:b/>
          <w:lang w:val="sq-AL"/>
        </w:rPr>
        <w:t>(!)</w:t>
      </w:r>
      <w:r w:rsidRPr="00EF1E7B">
        <w:rPr>
          <w:lang w:val="sq-AL"/>
        </w:rPr>
        <w:t xml:space="preserve"> Vitet që gratë i kalojnë në shkollim (si % e burrave)</w:t>
      </w:r>
    </w:p>
    <w:p w14:paraId="3885EE43" w14:textId="77777777" w:rsidR="008C64DE" w:rsidRPr="00EF1E7B" w:rsidRDefault="008C64DE" w:rsidP="00EF1E7B">
      <w:pPr>
        <w:numPr>
          <w:ilvl w:val="0"/>
          <w:numId w:val="21"/>
        </w:numPr>
        <w:rPr>
          <w:lang w:val="sq-AL"/>
        </w:rPr>
      </w:pPr>
      <w:r w:rsidRPr="00EF1E7B">
        <w:rPr>
          <w:b/>
          <w:lang w:val="sq-AL"/>
        </w:rPr>
        <w:t>(!)</w:t>
      </w:r>
      <w:r w:rsidRPr="00EF1E7B">
        <w:rPr>
          <w:lang w:val="sq-AL"/>
        </w:rPr>
        <w:t xml:space="preserve"> Pjesëmarrja e grave në fuqinë punëtore (si % e burrave)</w:t>
      </w:r>
    </w:p>
    <w:p w14:paraId="051263D9" w14:textId="77777777" w:rsidR="008C64DE" w:rsidRPr="00EF1E7B" w:rsidRDefault="008C64DE" w:rsidP="00EF1E7B">
      <w:pPr>
        <w:rPr>
          <w:lang w:val="sq-AL"/>
        </w:rPr>
      </w:pPr>
    </w:p>
    <w:p w14:paraId="2D8D37B4" w14:textId="77777777" w:rsidR="008C64DE" w:rsidRPr="00EF1E7B" w:rsidRDefault="008C64DE" w:rsidP="00EF1E7B">
      <w:pPr>
        <w:rPr>
          <w:u w:val="single"/>
          <w:lang w:val="sq-AL"/>
        </w:rPr>
      </w:pPr>
      <w:r w:rsidRPr="00EF1E7B">
        <w:rPr>
          <w:u w:val="single"/>
          <w:lang w:val="sq-AL"/>
        </w:rPr>
        <w:t xml:space="preserve">QZHQ 8: Punë e përshtatshme dhe zhvillim ekonomik </w:t>
      </w:r>
    </w:p>
    <w:p w14:paraId="1D9EACE4" w14:textId="77777777" w:rsidR="008C64DE" w:rsidRPr="00EF1E7B" w:rsidRDefault="008C64DE" w:rsidP="00EF1E7B">
      <w:pPr>
        <w:rPr>
          <w:lang w:val="sq-AL"/>
        </w:rPr>
      </w:pPr>
      <w:r w:rsidRPr="00EF1E7B">
        <w:rPr>
          <w:lang w:val="sq-AL"/>
        </w:rPr>
        <w:t>Tregues:</w:t>
      </w:r>
    </w:p>
    <w:p w14:paraId="6B5B58A7" w14:textId="77777777" w:rsidR="008C64DE" w:rsidRPr="00EF1E7B" w:rsidRDefault="008C64DE" w:rsidP="00EF1E7B">
      <w:pPr>
        <w:numPr>
          <w:ilvl w:val="0"/>
          <w:numId w:val="22"/>
        </w:numPr>
        <w:rPr>
          <w:lang w:val="sq-AL"/>
        </w:rPr>
      </w:pPr>
      <w:r w:rsidRPr="00EF1E7B">
        <w:rPr>
          <w:b/>
          <w:lang w:val="sq-AL"/>
        </w:rPr>
        <w:t xml:space="preserve">(!) </w:t>
      </w:r>
      <w:r w:rsidRPr="00EF1E7B">
        <w:rPr>
          <w:lang w:val="sq-AL"/>
        </w:rPr>
        <w:t>Shkalla e papunësisë (%)</w:t>
      </w:r>
    </w:p>
    <w:p w14:paraId="2A64F6DB" w14:textId="77777777" w:rsidR="008C64DE" w:rsidRPr="00EF1E7B" w:rsidRDefault="008C64DE" w:rsidP="008C64DE">
      <w:pPr>
        <w:rPr>
          <w:lang w:val="sq-AL"/>
        </w:rPr>
      </w:pPr>
    </w:p>
    <w:p w14:paraId="7E5EF085" w14:textId="77777777" w:rsidR="008C64DE" w:rsidRPr="00EF1E7B" w:rsidRDefault="008C64DE" w:rsidP="00EF1E7B">
      <w:pPr>
        <w:rPr>
          <w:u w:val="single"/>
          <w:lang w:val="sq-AL"/>
        </w:rPr>
      </w:pPr>
      <w:r w:rsidRPr="00EF1E7B">
        <w:rPr>
          <w:u w:val="single"/>
          <w:lang w:val="sq-AL"/>
        </w:rPr>
        <w:t>QZHQ 6: Ujë i pastër sanitarie</w:t>
      </w:r>
    </w:p>
    <w:p w14:paraId="1B3E0AAA" w14:textId="77777777" w:rsidR="008C64DE" w:rsidRPr="00EF1E7B" w:rsidRDefault="008C64DE" w:rsidP="00EF1E7B">
      <w:pPr>
        <w:rPr>
          <w:lang w:val="sq-AL"/>
        </w:rPr>
      </w:pPr>
      <w:r w:rsidRPr="00EF1E7B">
        <w:rPr>
          <w:lang w:val="sq-AL"/>
        </w:rPr>
        <w:t>Tregues:</w:t>
      </w:r>
    </w:p>
    <w:p w14:paraId="362BE869" w14:textId="77777777" w:rsidR="008C64DE" w:rsidRPr="00EF1E7B" w:rsidRDefault="008C64DE" w:rsidP="00EF1E7B">
      <w:pPr>
        <w:numPr>
          <w:ilvl w:val="0"/>
          <w:numId w:val="23"/>
        </w:numPr>
        <w:rPr>
          <w:lang w:val="sq-AL"/>
        </w:rPr>
      </w:pPr>
      <w:r w:rsidRPr="00EF1E7B">
        <w:rPr>
          <w:b/>
          <w:lang w:val="sq-AL"/>
        </w:rPr>
        <w:t>(!)</w:t>
      </w:r>
      <w:r w:rsidRPr="00EF1E7B">
        <w:rPr>
          <w:lang w:val="sq-AL"/>
        </w:rPr>
        <w:t xml:space="preserve"> Shkalla e banorëve që kanë së paku ujë për pije (%)</w:t>
      </w:r>
    </w:p>
    <w:p w14:paraId="4D7FD704" w14:textId="77777777" w:rsidR="008C64DE" w:rsidRPr="00EF1E7B" w:rsidRDefault="008C64DE" w:rsidP="00EF1E7B">
      <w:pPr>
        <w:numPr>
          <w:ilvl w:val="0"/>
          <w:numId w:val="23"/>
        </w:numPr>
        <w:rPr>
          <w:lang w:val="sq-AL"/>
        </w:rPr>
      </w:pPr>
      <w:r w:rsidRPr="00EF1E7B">
        <w:rPr>
          <w:b/>
          <w:lang w:val="sq-AL"/>
        </w:rPr>
        <w:t xml:space="preserve">(!) </w:t>
      </w:r>
      <w:r w:rsidRPr="00EF1E7B">
        <w:rPr>
          <w:lang w:val="sq-AL"/>
        </w:rPr>
        <w:t>Shkalla e banorëve që kanë qasje së paku te shërbimet bazike sanitare (%)</w:t>
      </w:r>
    </w:p>
    <w:p w14:paraId="3C688A3F" w14:textId="77777777" w:rsidR="008C64DE" w:rsidRPr="00EF1E7B" w:rsidRDefault="008C64DE" w:rsidP="00EF1E7B">
      <w:pPr>
        <w:numPr>
          <w:ilvl w:val="0"/>
          <w:numId w:val="23"/>
        </w:numPr>
        <w:rPr>
          <w:lang w:val="sq-AL"/>
        </w:rPr>
      </w:pPr>
      <w:r w:rsidRPr="00EF1E7B">
        <w:rPr>
          <w:lang w:val="sq-AL"/>
        </w:rPr>
        <w:t>Shkalla e tërheqjes së ujit të freskët (%)</w:t>
      </w:r>
    </w:p>
    <w:p w14:paraId="118C6BE8" w14:textId="77777777" w:rsidR="008C64DE" w:rsidRPr="00EF1E7B" w:rsidRDefault="008C64DE" w:rsidP="00EF1E7B">
      <w:pPr>
        <w:numPr>
          <w:ilvl w:val="0"/>
          <w:numId w:val="23"/>
        </w:numPr>
        <w:rPr>
          <w:lang w:val="sq-AL"/>
        </w:rPr>
      </w:pPr>
      <w:r w:rsidRPr="00EF1E7B">
        <w:rPr>
          <w:lang w:val="sq-AL"/>
        </w:rPr>
        <w:t>Varfërimi i ujërave sipërfaqësorë nga importi i mallrave (m</w:t>
      </w:r>
      <w:r w:rsidRPr="00EF1E7B">
        <w:rPr>
          <w:vertAlign w:val="superscript"/>
          <w:lang w:val="sq-AL"/>
        </w:rPr>
        <w:t>3</w:t>
      </w:r>
      <w:r w:rsidRPr="00EF1E7B">
        <w:rPr>
          <w:lang w:val="sq-AL"/>
        </w:rPr>
        <w:t xml:space="preserve"> në vit për kokë banori)</w:t>
      </w:r>
    </w:p>
    <w:p w14:paraId="53144EAA" w14:textId="77777777" w:rsidR="008C64DE" w:rsidRPr="00EF1E7B" w:rsidRDefault="008C64DE" w:rsidP="00EF1E7B">
      <w:pPr>
        <w:numPr>
          <w:ilvl w:val="0"/>
          <w:numId w:val="23"/>
        </w:numPr>
        <w:rPr>
          <w:lang w:val="sq-AL"/>
        </w:rPr>
      </w:pPr>
      <w:r w:rsidRPr="00EF1E7B">
        <w:rPr>
          <w:b/>
          <w:lang w:val="sq-AL"/>
        </w:rPr>
        <w:t xml:space="preserve">(!) </w:t>
      </w:r>
      <w:r w:rsidRPr="00EF1E7B">
        <w:rPr>
          <w:lang w:val="sq-AL"/>
        </w:rPr>
        <w:t>Ujëra të zeza të pastruara (%)</w:t>
      </w:r>
    </w:p>
    <w:p w14:paraId="4D1AB01D" w14:textId="77777777" w:rsidR="008C64DE" w:rsidRPr="00EF1E7B" w:rsidRDefault="008C64DE" w:rsidP="00EF1E7B">
      <w:pPr>
        <w:rPr>
          <w:lang w:val="sq-AL"/>
        </w:rPr>
      </w:pPr>
    </w:p>
    <w:p w14:paraId="13E33901" w14:textId="77777777" w:rsidR="008C64DE" w:rsidRPr="00EF1E7B" w:rsidRDefault="008C64DE" w:rsidP="00EF1E7B">
      <w:pPr>
        <w:rPr>
          <w:lang w:val="sq-AL"/>
        </w:rPr>
      </w:pPr>
    </w:p>
    <w:p w14:paraId="0F0EA77E" w14:textId="77777777" w:rsidR="008C64DE" w:rsidRPr="00EF1E7B" w:rsidRDefault="008C64DE" w:rsidP="00EF1E7B">
      <w:pPr>
        <w:rPr>
          <w:u w:val="single"/>
          <w:lang w:val="sq-AL"/>
        </w:rPr>
      </w:pPr>
      <w:r w:rsidRPr="00EF1E7B">
        <w:rPr>
          <w:u w:val="single"/>
          <w:lang w:val="sq-AL"/>
        </w:rPr>
        <w:t>QZHQ 7: Çmim i pranueshëm dhe energji e pastër</w:t>
      </w:r>
    </w:p>
    <w:p w14:paraId="403C553B" w14:textId="77777777" w:rsidR="008C64DE" w:rsidRPr="00EF1E7B" w:rsidRDefault="008C64DE" w:rsidP="00EF1E7B">
      <w:pPr>
        <w:rPr>
          <w:lang w:val="sq-AL"/>
        </w:rPr>
      </w:pPr>
      <w:r w:rsidRPr="00EF1E7B">
        <w:rPr>
          <w:lang w:val="sq-AL"/>
        </w:rPr>
        <w:t>Tregues:</w:t>
      </w:r>
    </w:p>
    <w:p w14:paraId="659E84B5" w14:textId="77777777" w:rsidR="008C64DE" w:rsidRPr="00EF1E7B" w:rsidRDefault="008C64DE" w:rsidP="00EF1E7B">
      <w:pPr>
        <w:numPr>
          <w:ilvl w:val="0"/>
          <w:numId w:val="24"/>
        </w:numPr>
        <w:rPr>
          <w:lang w:val="sq-AL"/>
        </w:rPr>
      </w:pPr>
      <w:r w:rsidRPr="00EF1E7B">
        <w:rPr>
          <w:lang w:val="sq-AL"/>
        </w:rPr>
        <w:t>Qasje në energjinë elektrike (%)</w:t>
      </w:r>
    </w:p>
    <w:p w14:paraId="0D561083" w14:textId="77777777" w:rsidR="008C64DE" w:rsidRPr="00EF1E7B" w:rsidRDefault="008C64DE" w:rsidP="00EF1E7B">
      <w:pPr>
        <w:numPr>
          <w:ilvl w:val="0"/>
          <w:numId w:val="24"/>
        </w:numPr>
        <w:rPr>
          <w:lang w:val="sq-AL"/>
        </w:rPr>
      </w:pPr>
      <w:r w:rsidRPr="00EF1E7B">
        <w:rPr>
          <w:b/>
          <w:lang w:val="sq-AL"/>
        </w:rPr>
        <w:t xml:space="preserve">(!) </w:t>
      </w:r>
      <w:r w:rsidRPr="00EF1E7B">
        <w:rPr>
          <w:lang w:val="sq-AL"/>
        </w:rPr>
        <w:t>Qasje në karburante të pastërta (%)</w:t>
      </w:r>
    </w:p>
    <w:p w14:paraId="39C435A0" w14:textId="77777777" w:rsidR="008C64DE" w:rsidRPr="00EF1E7B" w:rsidRDefault="008C64DE" w:rsidP="00EF1E7B">
      <w:pPr>
        <w:numPr>
          <w:ilvl w:val="0"/>
          <w:numId w:val="24"/>
        </w:numPr>
        <w:rPr>
          <w:lang w:val="sq-AL"/>
        </w:rPr>
      </w:pPr>
      <w:r w:rsidRPr="00EF1E7B">
        <w:rPr>
          <w:b/>
          <w:lang w:val="sq-AL"/>
        </w:rPr>
        <w:t xml:space="preserve">(!) </w:t>
      </w:r>
      <w:r w:rsidRPr="00EF1E7B">
        <w:rPr>
          <w:lang w:val="sq-AL"/>
        </w:rPr>
        <w:t>CO</w:t>
      </w:r>
      <w:r w:rsidRPr="00EF1E7B">
        <w:rPr>
          <w:vertAlign w:val="subscript"/>
          <w:lang w:val="sq-AL"/>
        </w:rPr>
        <w:t>2</w:t>
      </w:r>
      <w:r w:rsidRPr="00EF1E7B">
        <w:rPr>
          <w:lang w:val="sq-AL"/>
        </w:rPr>
        <w:t xml:space="preserve"> nga karburantet dhe energjia elektrike (Mt/TWh, megaton CO</w:t>
      </w:r>
      <w:r w:rsidRPr="00EF1E7B">
        <w:rPr>
          <w:vertAlign w:val="subscript"/>
          <w:lang w:val="sq-AL"/>
        </w:rPr>
        <w:t>2</w:t>
      </w:r>
      <w:r w:rsidRPr="00EF1E7B">
        <w:rPr>
          <w:lang w:val="sq-AL"/>
        </w:rPr>
        <w:t xml:space="preserve"> për teravat – orë energji)</w:t>
      </w:r>
    </w:p>
    <w:p w14:paraId="374A1244" w14:textId="77777777" w:rsidR="008C64DE" w:rsidRPr="00EF1E7B" w:rsidRDefault="008C64DE" w:rsidP="00EF1E7B">
      <w:pPr>
        <w:rPr>
          <w:lang w:val="sq-AL"/>
        </w:rPr>
      </w:pPr>
    </w:p>
    <w:p w14:paraId="2FAB9E0F" w14:textId="77777777" w:rsidR="008C64DE" w:rsidRPr="00EF1E7B" w:rsidRDefault="008C64DE" w:rsidP="00EF1E7B">
      <w:pPr>
        <w:rPr>
          <w:u w:val="single"/>
          <w:lang w:val="sq-AL"/>
        </w:rPr>
      </w:pPr>
      <w:r w:rsidRPr="00EF1E7B">
        <w:rPr>
          <w:u w:val="single"/>
          <w:lang w:val="sq-AL"/>
        </w:rPr>
        <w:t>QZHQ 12: Shpenzim i përgjegjshëm dhe prodhim</w:t>
      </w:r>
    </w:p>
    <w:p w14:paraId="65DB79BE" w14:textId="77777777" w:rsidR="008C64DE" w:rsidRPr="00EF1E7B" w:rsidRDefault="008C64DE" w:rsidP="00EF1E7B">
      <w:pPr>
        <w:numPr>
          <w:ilvl w:val="0"/>
          <w:numId w:val="25"/>
        </w:numPr>
        <w:rPr>
          <w:lang w:val="sq-AL"/>
        </w:rPr>
      </w:pPr>
      <w:r w:rsidRPr="00EF1E7B">
        <w:rPr>
          <w:b/>
          <w:lang w:val="sq-AL"/>
        </w:rPr>
        <w:lastRenderedPageBreak/>
        <w:t xml:space="preserve">(!) </w:t>
      </w:r>
      <w:r w:rsidRPr="00EF1E7B">
        <w:rPr>
          <w:lang w:val="sq-AL"/>
        </w:rPr>
        <w:t>Mbeturinat e forta komunale (kg/banor në ditë)</w:t>
      </w:r>
    </w:p>
    <w:p w14:paraId="2FDA5520" w14:textId="77777777" w:rsidR="008C64DE" w:rsidRPr="00EF1E7B" w:rsidRDefault="008C64DE" w:rsidP="00EF1E7B">
      <w:pPr>
        <w:numPr>
          <w:ilvl w:val="0"/>
          <w:numId w:val="25"/>
        </w:numPr>
        <w:rPr>
          <w:lang w:val="sq-AL"/>
        </w:rPr>
      </w:pPr>
      <w:r w:rsidRPr="00EF1E7B">
        <w:rPr>
          <w:b/>
          <w:lang w:val="sq-AL"/>
        </w:rPr>
        <w:t xml:space="preserve">(!) </w:t>
      </w:r>
      <w:r w:rsidRPr="00EF1E7B">
        <w:rPr>
          <w:lang w:val="sq-AL"/>
        </w:rPr>
        <w:t>E-mbeturina (kg/kokë banori)</w:t>
      </w:r>
    </w:p>
    <w:p w14:paraId="66008410" w14:textId="77777777" w:rsidR="008C64DE" w:rsidRPr="00EF1E7B" w:rsidRDefault="008C64DE" w:rsidP="00EF1E7B">
      <w:pPr>
        <w:numPr>
          <w:ilvl w:val="0"/>
          <w:numId w:val="25"/>
        </w:numPr>
        <w:rPr>
          <w:lang w:val="sq-AL"/>
        </w:rPr>
      </w:pPr>
      <w:r w:rsidRPr="00EF1E7B">
        <w:rPr>
          <w:b/>
          <w:lang w:val="sq-AL"/>
        </w:rPr>
        <w:t xml:space="preserve">(!) </w:t>
      </w:r>
      <w:r w:rsidRPr="00EF1E7B">
        <w:rPr>
          <w:lang w:val="sq-AL"/>
        </w:rPr>
        <w:t>Еmetim i azotit reaktiv (kg/kokë banori)</w:t>
      </w:r>
    </w:p>
    <w:p w14:paraId="3CD7590B" w14:textId="77777777" w:rsidR="008C64DE" w:rsidRPr="00EF1E7B" w:rsidRDefault="008C64DE" w:rsidP="00EF1E7B">
      <w:pPr>
        <w:rPr>
          <w:lang w:val="sq-AL"/>
        </w:rPr>
      </w:pPr>
    </w:p>
    <w:p w14:paraId="2C7FBECF" w14:textId="77777777" w:rsidR="008C64DE" w:rsidRPr="00EF1E7B" w:rsidRDefault="008C64DE" w:rsidP="00EF1E7B">
      <w:pPr>
        <w:rPr>
          <w:u w:val="single"/>
          <w:lang w:val="sq-AL"/>
        </w:rPr>
      </w:pPr>
      <w:r w:rsidRPr="00EF1E7B">
        <w:rPr>
          <w:u w:val="single"/>
          <w:lang w:val="sq-AL"/>
        </w:rPr>
        <w:t>QZHQ 13: Masat kundër ndryshimeve klimatike</w:t>
      </w:r>
    </w:p>
    <w:p w14:paraId="3BC7CD70" w14:textId="77777777" w:rsidR="008C64DE" w:rsidRPr="00EF1E7B" w:rsidRDefault="008C64DE" w:rsidP="00EF1E7B">
      <w:pPr>
        <w:numPr>
          <w:ilvl w:val="0"/>
          <w:numId w:val="26"/>
        </w:numPr>
        <w:rPr>
          <w:lang w:val="sq-AL"/>
        </w:rPr>
      </w:pPr>
      <w:r w:rsidRPr="00EF1E7B">
        <w:rPr>
          <w:b/>
          <w:lang w:val="sq-AL"/>
        </w:rPr>
        <w:t xml:space="preserve">(!) </w:t>
      </w:r>
      <w:r w:rsidRPr="00EF1E7B">
        <w:rPr>
          <w:lang w:val="sq-AL"/>
        </w:rPr>
        <w:t>Emetime të</w:t>
      </w:r>
      <w:r w:rsidRPr="00EF1E7B">
        <w:rPr>
          <w:b/>
          <w:lang w:val="sq-AL"/>
        </w:rPr>
        <w:t xml:space="preserve"> </w:t>
      </w:r>
      <w:r w:rsidRPr="00EF1E7B">
        <w:rPr>
          <w:lang w:val="sq-AL"/>
        </w:rPr>
        <w:t>CO</w:t>
      </w:r>
      <w:r w:rsidRPr="00EF1E7B">
        <w:rPr>
          <w:vertAlign w:val="subscript"/>
          <w:lang w:val="sq-AL"/>
        </w:rPr>
        <w:t>2-shit</w:t>
      </w:r>
      <w:r w:rsidRPr="00EF1E7B">
        <w:rPr>
          <w:lang w:val="sq-AL"/>
        </w:rPr>
        <w:t xml:space="preserve"> që lidhen me energjinë (tonë CO</w:t>
      </w:r>
      <w:r w:rsidRPr="00EF1E7B">
        <w:rPr>
          <w:vertAlign w:val="subscript"/>
          <w:lang w:val="sq-AL"/>
        </w:rPr>
        <w:t>2</w:t>
      </w:r>
      <w:r w:rsidRPr="00EF1E7B">
        <w:rPr>
          <w:lang w:val="sq-AL"/>
        </w:rPr>
        <w:t xml:space="preserve"> për kokë banori)</w:t>
      </w:r>
    </w:p>
    <w:p w14:paraId="7B210B0A" w14:textId="77777777" w:rsidR="008C64DE" w:rsidRPr="00EF1E7B" w:rsidRDefault="008C64DE" w:rsidP="00EF1E7B">
      <w:pPr>
        <w:numPr>
          <w:ilvl w:val="0"/>
          <w:numId w:val="26"/>
        </w:numPr>
        <w:rPr>
          <w:lang w:val="sq-AL"/>
        </w:rPr>
      </w:pPr>
      <w:r w:rsidRPr="00EF1E7B">
        <w:rPr>
          <w:b/>
          <w:lang w:val="sq-AL"/>
        </w:rPr>
        <w:t xml:space="preserve">(!) </w:t>
      </w:r>
      <w:r w:rsidRPr="00EF1E7B">
        <w:rPr>
          <w:lang w:val="sq-AL"/>
        </w:rPr>
        <w:t>Emetime të</w:t>
      </w:r>
      <w:r w:rsidRPr="00EF1E7B">
        <w:rPr>
          <w:b/>
          <w:lang w:val="sq-AL"/>
        </w:rPr>
        <w:t xml:space="preserve"> </w:t>
      </w:r>
      <w:r w:rsidRPr="00EF1E7B">
        <w:rPr>
          <w:lang w:val="sq-AL"/>
        </w:rPr>
        <w:t>CO</w:t>
      </w:r>
      <w:r w:rsidRPr="00EF1E7B">
        <w:rPr>
          <w:vertAlign w:val="subscript"/>
          <w:lang w:val="sq-AL"/>
        </w:rPr>
        <w:t>2-shit</w:t>
      </w:r>
      <w:r w:rsidRPr="00EF1E7B">
        <w:rPr>
          <w:lang w:val="sq-AL"/>
        </w:rPr>
        <w:t xml:space="preserve"> që lidhen me importin e mallrave (tonë CO</w:t>
      </w:r>
      <w:r w:rsidRPr="00EF1E7B">
        <w:rPr>
          <w:vertAlign w:val="subscript"/>
          <w:lang w:val="sq-AL"/>
        </w:rPr>
        <w:t>2</w:t>
      </w:r>
      <w:r w:rsidRPr="00EF1E7B">
        <w:rPr>
          <w:lang w:val="sq-AL"/>
        </w:rPr>
        <w:t xml:space="preserve"> për kokë banori)</w:t>
      </w:r>
    </w:p>
    <w:p w14:paraId="3DB1782B" w14:textId="77777777" w:rsidR="008C64DE" w:rsidRPr="00EF1E7B" w:rsidRDefault="008C64DE" w:rsidP="00EF1E7B">
      <w:pPr>
        <w:numPr>
          <w:ilvl w:val="0"/>
          <w:numId w:val="26"/>
        </w:numPr>
        <w:rPr>
          <w:lang w:val="sq-AL"/>
        </w:rPr>
      </w:pPr>
      <w:r w:rsidRPr="00EF1E7B">
        <w:rPr>
          <w:b/>
          <w:lang w:val="sq-AL"/>
        </w:rPr>
        <w:t>(!)</w:t>
      </w:r>
      <w:r w:rsidRPr="00EF1E7B">
        <w:rPr>
          <w:lang w:val="sq-AL"/>
        </w:rPr>
        <w:t xml:space="preserve"> Banorë të prekur nga katastrofa klimatike (në 100 000 banorë)</w:t>
      </w:r>
    </w:p>
    <w:p w14:paraId="5C5BD513" w14:textId="641C4790" w:rsidR="008C64DE" w:rsidRPr="00EF1E7B" w:rsidRDefault="008C64DE" w:rsidP="00EF1E7B">
      <w:pPr>
        <w:numPr>
          <w:ilvl w:val="0"/>
          <w:numId w:val="26"/>
        </w:numPr>
        <w:rPr>
          <w:lang w:val="sq-AL"/>
        </w:rPr>
      </w:pPr>
      <w:r w:rsidRPr="00EF1E7B">
        <w:rPr>
          <w:lang w:val="sq-AL"/>
        </w:rPr>
        <w:t>Emetime të</w:t>
      </w:r>
      <w:r w:rsidRPr="00EF1E7B">
        <w:rPr>
          <w:b/>
          <w:lang w:val="sq-AL"/>
        </w:rPr>
        <w:t xml:space="preserve"> </w:t>
      </w:r>
      <w:r w:rsidRPr="00EF1E7B">
        <w:rPr>
          <w:lang w:val="sq-AL"/>
        </w:rPr>
        <w:t>CO</w:t>
      </w:r>
      <w:r w:rsidRPr="00EF1E7B">
        <w:rPr>
          <w:vertAlign w:val="subscript"/>
          <w:lang w:val="sq-AL"/>
        </w:rPr>
        <w:t>2-shit</w:t>
      </w:r>
      <w:r w:rsidRPr="00EF1E7B">
        <w:rPr>
          <w:lang w:val="sq-AL"/>
        </w:rPr>
        <w:t xml:space="preserve"> që lidhen me eksportin e karburanteve fosile (kg/për kokë banori)</w:t>
      </w:r>
    </w:p>
    <w:p w14:paraId="2BF23DE0" w14:textId="77777777" w:rsidR="008C64DE" w:rsidRPr="00EF1E7B" w:rsidRDefault="008C64DE" w:rsidP="00EF1E7B">
      <w:pPr>
        <w:numPr>
          <w:ilvl w:val="0"/>
          <w:numId w:val="26"/>
        </w:numPr>
        <w:rPr>
          <w:lang w:val="sq-AL"/>
        </w:rPr>
      </w:pPr>
    </w:p>
    <w:p w14:paraId="1CB669CF" w14:textId="77777777" w:rsidR="008C64DE" w:rsidRPr="00EF1E7B" w:rsidRDefault="008C64DE" w:rsidP="008C64DE">
      <w:pPr>
        <w:spacing w:line="280" w:lineRule="auto"/>
        <w:jc w:val="both"/>
        <w:rPr>
          <w:lang w:val="sq-AL"/>
        </w:rPr>
      </w:pPr>
      <w:r w:rsidRPr="00EF1E7B">
        <w:rPr>
          <w:b/>
          <w:lang w:val="sq-AL"/>
        </w:rPr>
        <w:t>1.4. Burimet financiare të disponueshme dhe obligimet financiare të aplikantë</w:t>
      </w:r>
      <w:bookmarkEnd w:id="3"/>
      <w:r w:rsidRPr="00EF1E7B">
        <w:rPr>
          <w:b/>
          <w:lang w:val="sq-AL"/>
        </w:rPr>
        <w:t>ve</w:t>
      </w:r>
    </w:p>
    <w:p w14:paraId="559A248D" w14:textId="77777777" w:rsidR="00917A25" w:rsidRPr="00EF1E7B" w:rsidRDefault="00917A25">
      <w:pPr>
        <w:rPr>
          <w:lang w:val="sq-AL"/>
        </w:rPr>
      </w:pPr>
    </w:p>
    <w:p w14:paraId="0B95E3D0" w14:textId="6BA7C696" w:rsidR="008C64DE" w:rsidRPr="00EF1E7B" w:rsidRDefault="008C64DE" w:rsidP="00EF1E7B">
      <w:pPr>
        <w:rPr>
          <w:lang w:val="sq-AL"/>
        </w:rPr>
      </w:pPr>
      <w:r w:rsidRPr="00EF1E7B">
        <w:rPr>
          <w:lang w:val="sq-AL"/>
        </w:rPr>
        <w:t xml:space="preserve">Shuma e plotë e disponueshme </w:t>
      </w:r>
      <w:r w:rsidR="00C6762D">
        <w:rPr>
          <w:lang w:val="sq-AL"/>
        </w:rPr>
        <w:t xml:space="preserve">e </w:t>
      </w:r>
      <w:r w:rsidR="00D1741E">
        <w:rPr>
          <w:lang w:val="sq-AL"/>
        </w:rPr>
        <w:t xml:space="preserve">Fondit për dokumentacion teknik është 1 milion </w:t>
      </w:r>
      <w:r w:rsidRPr="00EF1E7B">
        <w:rPr>
          <w:lang w:val="sq-AL"/>
        </w:rPr>
        <w:t>dollarë amerikanë.</w:t>
      </w:r>
    </w:p>
    <w:p w14:paraId="10515930" w14:textId="77777777" w:rsidR="008C64DE" w:rsidRPr="00EF1E7B" w:rsidRDefault="008C64DE" w:rsidP="00EF1E7B">
      <w:pPr>
        <w:rPr>
          <w:lang w:val="sq-AL"/>
        </w:rPr>
      </w:pPr>
    </w:p>
    <w:p w14:paraId="1BD749E0" w14:textId="1FD9203C" w:rsidR="008C64DE" w:rsidRPr="00EF1E7B" w:rsidRDefault="008C64DE" w:rsidP="00EF1E7B">
      <w:pPr>
        <w:rPr>
          <w:lang w:val="sq-AL"/>
        </w:rPr>
      </w:pPr>
      <w:r w:rsidRPr="00EF1E7B">
        <w:rPr>
          <w:lang w:val="sq-AL"/>
        </w:rPr>
        <w:t>Shuma minimale dhe maksimale për të cilat çdo aplikant (komunë</w:t>
      </w:r>
      <w:r w:rsidR="000909D0">
        <w:rPr>
          <w:lang w:val="sq-AL"/>
        </w:rPr>
        <w:t xml:space="preserve"> ose qendër rajonale </w:t>
      </w:r>
      <w:r w:rsidRPr="00EF1E7B">
        <w:rPr>
          <w:lang w:val="sq-AL"/>
        </w:rPr>
        <w:t>) mund të dorëzojë aplikim janë përcaktuar në nivel si në vijim:</w:t>
      </w:r>
    </w:p>
    <w:p w14:paraId="2D39DC22" w14:textId="0F49BACC" w:rsidR="008C64DE" w:rsidRPr="00EF1E7B" w:rsidRDefault="008C64DE" w:rsidP="00EF1E7B">
      <w:pPr>
        <w:numPr>
          <w:ilvl w:val="0"/>
          <w:numId w:val="2"/>
        </w:numPr>
        <w:rPr>
          <w:lang w:val="sq-AL"/>
        </w:rPr>
      </w:pPr>
      <w:r w:rsidRPr="00EF1E7B">
        <w:rPr>
          <w:lang w:val="sq-AL"/>
        </w:rPr>
        <w:t>shuma minimale është 10.000,00 dollarë amerikanë</w:t>
      </w:r>
      <w:r w:rsidR="000909D0">
        <w:rPr>
          <w:lang w:val="sq-AL"/>
        </w:rPr>
        <w:t xml:space="preserve"> për komunat dhe 20.000 dollarë amerikanë për qendrat rajonale</w:t>
      </w:r>
      <w:r w:rsidRPr="00EF1E7B">
        <w:rPr>
          <w:lang w:val="sq-AL"/>
        </w:rPr>
        <w:t>.</w:t>
      </w:r>
    </w:p>
    <w:p w14:paraId="3439F7D0" w14:textId="0C2BD38D" w:rsidR="000909D0" w:rsidRPr="000909D0" w:rsidRDefault="008C64DE" w:rsidP="000909D0">
      <w:pPr>
        <w:numPr>
          <w:ilvl w:val="0"/>
          <w:numId w:val="2"/>
        </w:numPr>
        <w:rPr>
          <w:lang w:val="sq-AL"/>
        </w:rPr>
      </w:pPr>
      <w:r w:rsidRPr="00EF1E7B">
        <w:rPr>
          <w:lang w:val="sq-AL"/>
        </w:rPr>
        <w:t>shuma maksimale ës</w:t>
      </w:r>
      <w:r w:rsidR="000909D0">
        <w:rPr>
          <w:lang w:val="sq-AL"/>
        </w:rPr>
        <w:t>htë 30.000,00 dollarë amerikanë për komunat dhe 6</w:t>
      </w:r>
      <w:r w:rsidR="000909D0" w:rsidRPr="000909D0">
        <w:rPr>
          <w:lang w:val="sq-AL"/>
        </w:rPr>
        <w:t>0.000 dollarë amerikanë për qendrat rajonale.</w:t>
      </w:r>
    </w:p>
    <w:p w14:paraId="1FBEE250" w14:textId="140C805C" w:rsidR="008C64DE" w:rsidRPr="00EF1E7B" w:rsidRDefault="008C64DE" w:rsidP="000909D0">
      <w:pPr>
        <w:rPr>
          <w:lang w:val="sq-AL"/>
        </w:rPr>
      </w:pPr>
    </w:p>
    <w:p w14:paraId="78FCE85B" w14:textId="77777777" w:rsidR="008C64DE" w:rsidRPr="00EF1E7B" w:rsidRDefault="008C64DE" w:rsidP="00EF1E7B">
      <w:pPr>
        <w:rPr>
          <w:lang w:val="sq-AL"/>
        </w:rPr>
      </w:pPr>
    </w:p>
    <w:p w14:paraId="437E882B" w14:textId="1F38CD68" w:rsidR="00FA5E68" w:rsidRDefault="00991D88" w:rsidP="00FA5E68">
      <w:pPr>
        <w:rPr>
          <w:lang w:val="sq-AL"/>
        </w:rPr>
      </w:pPr>
      <w:r w:rsidRPr="00991D88">
        <w:rPr>
          <w:lang w:val="sq-AL"/>
        </w:rPr>
        <w:t>Në rastet kur aplikimi paraqitet si partneritet i dy ose më shumë komunave, shumat nga paragrafi i mëparshëm do të rriten me 10,000 dollarë për secilën komunë shtesë - për shembu</w:t>
      </w:r>
      <w:r>
        <w:rPr>
          <w:lang w:val="sq-AL"/>
        </w:rPr>
        <w:t xml:space="preserve">ll, 40,000 dollarë për 2 komuna </w:t>
      </w:r>
      <w:r w:rsidRPr="00991D88">
        <w:rPr>
          <w:lang w:val="sq-AL"/>
        </w:rPr>
        <w:t xml:space="preserve">që veprojnë si partnerë, 50,000 dollarë për 3 </w:t>
      </w:r>
      <w:r>
        <w:rPr>
          <w:lang w:val="sq-AL"/>
        </w:rPr>
        <w:t>komuna</w:t>
      </w:r>
      <w:r w:rsidRPr="00991D88">
        <w:rPr>
          <w:lang w:val="sq-AL"/>
        </w:rPr>
        <w:t>, etj. Rregulli i sasisë minimale mbetet i njëjtë pa marrë parasysh marrëveshjen e partneritetit. Në rastin e qendrave rajonale, nuk ka mundësi për aplikime të përbashkëta të tyre.</w:t>
      </w:r>
    </w:p>
    <w:p w14:paraId="09F3A0F3" w14:textId="77777777" w:rsidR="00991D88" w:rsidRPr="00EF1E7B" w:rsidRDefault="00991D88" w:rsidP="00FA5E68">
      <w:pPr>
        <w:rPr>
          <w:lang w:val="sq-AL"/>
        </w:rPr>
      </w:pPr>
    </w:p>
    <w:p w14:paraId="364615B6" w14:textId="77777777" w:rsidR="008C64DE" w:rsidRPr="00EF1E7B" w:rsidRDefault="008C64DE" w:rsidP="008C64DE">
      <w:pPr>
        <w:rPr>
          <w:lang w:val="sq-AL"/>
        </w:rPr>
      </w:pPr>
      <w:r w:rsidRPr="00EF1E7B">
        <w:rPr>
          <w:lang w:val="sq-AL"/>
        </w:rPr>
        <w:t>Në rastet e aplikimeve të paraqitura nga qendrat Rajonale, zbatohet i njëjti rregull për grumbullimin maksimal të fondeve, duke marrë parasysh numrin e komunave në territorin e të cilave do të zhvillohet projekti i planifikuar, ose kush do të përfitojë ndryshe nga projekti i propozuar. Rregulla të tjera, si shuma minimale, zbatohen siç përshkruhet në paragrafin e mëparshëm.</w:t>
      </w:r>
    </w:p>
    <w:p w14:paraId="39BBB0FF" w14:textId="77777777" w:rsidR="008C64DE" w:rsidRPr="00EF1E7B" w:rsidRDefault="008C64DE" w:rsidP="00EF1E7B">
      <w:pPr>
        <w:rPr>
          <w:lang w:val="sq-AL"/>
        </w:rPr>
      </w:pPr>
    </w:p>
    <w:p w14:paraId="6D07AD32" w14:textId="3A0D3B34" w:rsidR="008C64DE" w:rsidRPr="00EF1E7B" w:rsidRDefault="008C64DE" w:rsidP="00EF1E7B">
      <w:pPr>
        <w:rPr>
          <w:lang w:val="sq-AL"/>
        </w:rPr>
      </w:pPr>
      <w:r w:rsidRPr="00EF1E7B">
        <w:rPr>
          <w:lang w:val="sq-AL"/>
        </w:rPr>
        <w:t>Shuma maksimale e mbështetjes për këtë thirrje propozimesh është 100%, respektivisht nuk ka nevojë bashkëfinancimi nga aplikanti në raste kur shuma përfundimtare e mbështetjes, e vërtetuar përmes procedurave të përzgjedhjes dhe furnizimit është në kuadër të kufizimeve të përmendura më lartë.</w:t>
      </w:r>
      <w:r w:rsidR="00FA5E68" w:rsidRPr="00EF1E7B">
        <w:rPr>
          <w:lang w:val="sq-AL"/>
        </w:rPr>
        <w:t xml:space="preserve"> </w:t>
      </w:r>
      <w:r w:rsidRPr="00EF1E7B">
        <w:rPr>
          <w:lang w:val="sq-AL"/>
        </w:rPr>
        <w:t>Në rastet kur kjo shumë përfundimtare i tejkalon këto kufizime, aplikanti duhet të sigurojë bashkëfinancim për dallimin deri te shuma përfundimtare nga burime të veta ose tjera.</w:t>
      </w:r>
    </w:p>
    <w:p w14:paraId="589CD81E" w14:textId="28A4FC0E" w:rsidR="00182076" w:rsidRPr="00EF1E7B" w:rsidRDefault="00182076" w:rsidP="00FA5E68">
      <w:pPr>
        <w:rPr>
          <w:lang w:val="sq-AL"/>
        </w:rPr>
      </w:pPr>
    </w:p>
    <w:p w14:paraId="5C666779" w14:textId="77777777" w:rsidR="00FA5E68" w:rsidRPr="00EF1E7B" w:rsidRDefault="00FA5E68" w:rsidP="00EF1E7B">
      <w:pPr>
        <w:rPr>
          <w:lang w:val="sq-AL"/>
        </w:rPr>
      </w:pPr>
    </w:p>
    <w:p w14:paraId="38F157E0" w14:textId="77777777" w:rsidR="008C64DE" w:rsidRPr="00EF1E7B" w:rsidRDefault="008C64DE" w:rsidP="00EF1E7B">
      <w:pPr>
        <w:rPr>
          <w:b/>
          <w:lang w:val="sq-AL"/>
        </w:rPr>
      </w:pPr>
      <w:bookmarkStart w:id="4" w:name="_Toc20757671"/>
      <w:r w:rsidRPr="00EF1E7B">
        <w:rPr>
          <w:b/>
          <w:lang w:val="sq-AL"/>
        </w:rPr>
        <w:t>2. RREGULLA TË THIRRJES PËR PROPOZIME</w:t>
      </w:r>
      <w:bookmarkEnd w:id="4"/>
      <w:r w:rsidRPr="00EF1E7B">
        <w:rPr>
          <w:b/>
          <w:lang w:val="sq-AL"/>
        </w:rPr>
        <w:tab/>
      </w:r>
    </w:p>
    <w:p w14:paraId="1DC507F1" w14:textId="77777777" w:rsidR="008C64DE" w:rsidRPr="00EF1E7B" w:rsidRDefault="008C64DE" w:rsidP="008C64DE">
      <w:pPr>
        <w:rPr>
          <w:b/>
          <w:lang w:val="sq-AL"/>
        </w:rPr>
      </w:pPr>
    </w:p>
    <w:p w14:paraId="2ACE5AAE" w14:textId="77777777" w:rsidR="008C64DE" w:rsidRPr="00EF1E7B" w:rsidRDefault="008C64DE" w:rsidP="00EF1E7B">
      <w:pPr>
        <w:rPr>
          <w:b/>
          <w:lang w:val="sq-AL"/>
        </w:rPr>
      </w:pPr>
      <w:bookmarkStart w:id="5" w:name="_Toc20757672"/>
      <w:r w:rsidRPr="00EF1E7B">
        <w:rPr>
          <w:b/>
          <w:lang w:val="sq-AL"/>
        </w:rPr>
        <w:lastRenderedPageBreak/>
        <w:t>2.1. Kriteret e përzgjedhjes</w:t>
      </w:r>
      <w:bookmarkEnd w:id="5"/>
    </w:p>
    <w:p w14:paraId="49798C8B" w14:textId="77777777" w:rsidR="008C64DE" w:rsidRPr="00EF1E7B" w:rsidRDefault="008C64DE" w:rsidP="008C64DE">
      <w:pPr>
        <w:rPr>
          <w:lang w:val="sq-AL"/>
        </w:rPr>
      </w:pPr>
    </w:p>
    <w:p w14:paraId="57118756" w14:textId="77777777" w:rsidR="008C64DE" w:rsidRPr="00EF1E7B" w:rsidRDefault="008C64DE" w:rsidP="00EF1E7B">
      <w:pPr>
        <w:rPr>
          <w:u w:val="single"/>
          <w:lang w:val="sq-AL"/>
        </w:rPr>
      </w:pPr>
      <w:bookmarkStart w:id="6" w:name="_Toc20757673"/>
      <w:r w:rsidRPr="00EF1E7B">
        <w:rPr>
          <w:u w:val="single"/>
          <w:lang w:val="sq-AL"/>
        </w:rPr>
        <w:t>2.1.1. Përzgjedhja e aplikantëve – kush mund të aplikojë?</w:t>
      </w:r>
      <w:bookmarkEnd w:id="6"/>
    </w:p>
    <w:p w14:paraId="470FE2B2" w14:textId="2C5EEC29" w:rsidR="00A76C67" w:rsidRPr="00EF1E7B" w:rsidRDefault="008C64DE" w:rsidP="005D1A05">
      <w:pPr>
        <w:jc w:val="both"/>
        <w:rPr>
          <w:lang w:val="sq-AL"/>
        </w:rPr>
      </w:pPr>
      <w:r w:rsidRPr="00EF1E7B">
        <w:rPr>
          <w:lang w:val="sq-AL"/>
        </w:rPr>
        <w:t>Aplikantët e vetëm të përzgjedhur sipas kësaj Thirrjeje për propozime janë komunat  dhe 8 qendra rajonale në Republikën e Maqedonisë së Veriut</w:t>
      </w:r>
      <w:r w:rsidR="00576C7D" w:rsidRPr="00EF1E7B">
        <w:rPr>
          <w:rStyle w:val="FootnoteReference"/>
          <w:lang w:val="sq-AL"/>
        </w:rPr>
        <w:footnoteReference w:id="3"/>
      </w:r>
      <w:r w:rsidR="00C453E4" w:rsidRPr="00EF1E7B">
        <w:rPr>
          <w:lang w:val="sq-AL"/>
        </w:rPr>
        <w:t xml:space="preserve">. </w:t>
      </w:r>
    </w:p>
    <w:p w14:paraId="579001E7" w14:textId="5F9C643F" w:rsidR="008C64DE" w:rsidRPr="00EF1E7B" w:rsidRDefault="008C64DE" w:rsidP="00EF1E7B">
      <w:pPr>
        <w:jc w:val="both"/>
        <w:rPr>
          <w:lang w:val="sq-AL"/>
        </w:rPr>
      </w:pPr>
    </w:p>
    <w:p w14:paraId="7174EC08" w14:textId="2B2798A0" w:rsidR="003A6FCB" w:rsidRPr="003A6FCB" w:rsidRDefault="008C64DE" w:rsidP="003A6FCB">
      <w:pPr>
        <w:jc w:val="both"/>
      </w:pPr>
      <w:r w:rsidRPr="00EF1E7B">
        <w:rPr>
          <w:lang w:val="sq-AL"/>
        </w:rPr>
        <w:t>Shfrytëzuesi i fundit, për shembull shfrytëzuesi i dokumentimit të përpunuar teknik mund të jetë cilidoqoftë institucion publik që financohet nga komuna ose komunat që kanë aplikuar e që punon në territor të asaj/atyre komune/ave, siç janë ndërmarrjet publike komunale dhe kompanitë e mirëmbajtjes së infrastrukturës komunale, shkollat, çerdhet dhe institucionet tjera. Institucione të tilla mund të marrin rolin e një partneri në aplikim, me punonjësit e tyre që marrin përgjegjësi për zbatimin. Në rastet e partneriteteve të tilla, rregullat për grumbullimin e fondeve të listuara në pikën 1.4. të këtyre Udhëzimeve NUK ZBATOHEN, respektivisht fondet nuk mund të grumbullohen.</w:t>
      </w:r>
      <w:r w:rsidR="00D5662C">
        <w:rPr>
          <w:lang w:val="sq-AL"/>
        </w:rPr>
        <w:t xml:space="preserve"> </w:t>
      </w:r>
      <w:r w:rsidR="003A6FCB" w:rsidRPr="003A6FCB">
        <w:rPr>
          <w:lang w:val="sq-AL"/>
        </w:rPr>
        <w:t xml:space="preserve">Sidoqoftë, kërkesa duhet të dorëzohet dhe nënshkruhet, dhe zbatimi </w:t>
      </w:r>
      <w:r w:rsidR="003A6FCB">
        <w:rPr>
          <w:lang w:val="sq-AL"/>
        </w:rPr>
        <w:t xml:space="preserve">duhet </w:t>
      </w:r>
      <w:r w:rsidR="003A6FCB" w:rsidRPr="003A6FCB">
        <w:rPr>
          <w:lang w:val="sq-AL"/>
        </w:rPr>
        <w:t>të garantohet nga personi përgjegjës në komunën aplikuese.</w:t>
      </w:r>
    </w:p>
    <w:p w14:paraId="6FFCE4E6" w14:textId="77777777" w:rsidR="00D5662C" w:rsidRDefault="00D5662C" w:rsidP="00EF1E7B">
      <w:pPr>
        <w:jc w:val="both"/>
        <w:rPr>
          <w:lang w:val="sq-AL"/>
        </w:rPr>
      </w:pPr>
    </w:p>
    <w:p w14:paraId="0B9B7A14" w14:textId="2916EFDE" w:rsidR="008C64DE" w:rsidRPr="00EF1E7B" w:rsidRDefault="008C64DE" w:rsidP="00EF1E7B">
      <w:pPr>
        <w:jc w:val="both"/>
        <w:rPr>
          <w:lang w:val="sq-AL"/>
        </w:rPr>
      </w:pPr>
      <w:r w:rsidRPr="00EF1E7B">
        <w:rPr>
          <w:lang w:val="sq-AL"/>
        </w:rPr>
        <w:t>Pjesëmarrja e shfrytëzuesit të fundit në implementim, për shembull përpilimi i dokumentimit teknik të kërkuar, duhet të shkruhet dhe sqarohet në Formularin e Aplikimit.</w:t>
      </w:r>
    </w:p>
    <w:p w14:paraId="67187E1F" w14:textId="77777777" w:rsidR="00FA5E68" w:rsidRPr="00EF1E7B" w:rsidRDefault="00FA5E68" w:rsidP="008C64DE">
      <w:pPr>
        <w:jc w:val="both"/>
        <w:rPr>
          <w:lang w:val="sq-AL"/>
        </w:rPr>
      </w:pPr>
    </w:p>
    <w:p w14:paraId="66A6FFCB" w14:textId="3AB90598" w:rsidR="008C64DE" w:rsidRPr="00EF1E7B" w:rsidRDefault="008C64DE" w:rsidP="008C64DE">
      <w:pPr>
        <w:jc w:val="both"/>
        <w:rPr>
          <w:lang w:val="sq-AL"/>
        </w:rPr>
      </w:pPr>
      <w:r w:rsidRPr="00EF1E7B">
        <w:rPr>
          <w:lang w:val="sq-AL"/>
        </w:rPr>
        <w:t>Në rastet kur aplikimi bëhet në partneritet të dy a më shumë komunave, njëra nga ato duhet të caktohet si partnere udhëheqëse. Në rastet kur partneri i komunës është një nga entitetet publike në pronësi ose i kontrolluar ndryshe nga autoritetet komunale, partneri kryesor është gjithmonë komuna.</w:t>
      </w:r>
    </w:p>
    <w:p w14:paraId="4CBC11E3" w14:textId="15576F12" w:rsidR="008C64DE" w:rsidRPr="00EF1E7B" w:rsidRDefault="008C64DE" w:rsidP="00EF1E7B">
      <w:pPr>
        <w:jc w:val="both"/>
        <w:rPr>
          <w:lang w:val="sq-AL"/>
        </w:rPr>
      </w:pPr>
      <w:r w:rsidRPr="00EF1E7B">
        <w:rPr>
          <w:lang w:val="sq-AL"/>
        </w:rPr>
        <w:t>Rolet individuale të secilit partner në një aplikim të tillë të përbashkët duhet të sqarohen në pjesën e lartëpërmendur të Formularit të Aplikimit, si edhe në Marrëveshjen e Partneritetit</w:t>
      </w:r>
      <w:r w:rsidRPr="00EF1E7B">
        <w:rPr>
          <w:vertAlign w:val="superscript"/>
          <w:lang w:val="sq-AL"/>
        </w:rPr>
        <w:t xml:space="preserve"> </w:t>
      </w:r>
      <w:r w:rsidR="00576C7D" w:rsidRPr="00EF1E7B">
        <w:rPr>
          <w:rStyle w:val="FootnoteReference"/>
          <w:lang w:val="sq-AL"/>
        </w:rPr>
        <w:footnoteReference w:id="4"/>
      </w:r>
      <w:r w:rsidR="00CE3AD9" w:rsidRPr="00EF1E7B">
        <w:rPr>
          <w:lang w:val="sq-AL"/>
        </w:rPr>
        <w:t>.</w:t>
      </w:r>
      <w:r w:rsidRPr="00EF1E7B">
        <w:rPr>
          <w:lang w:val="sq-AL"/>
        </w:rPr>
        <w:t xml:space="preserve"> Përfshirja e njësive të tilla publike në fazën e aplikimit, nëse është mjaft</w:t>
      </w:r>
      <w:r w:rsidR="00DA299E" w:rsidRPr="00EF1E7B">
        <w:rPr>
          <w:lang w:val="sq-AL"/>
        </w:rPr>
        <w:t>ushëm</w:t>
      </w:r>
      <w:r w:rsidRPr="00EF1E7B">
        <w:rPr>
          <w:lang w:val="sq-AL"/>
        </w:rPr>
        <w:t xml:space="preserve"> e justifikuar, mund të kontribuojë në vlerësimin pozitiv (gradimin) e aplikacionit në pjesën e vlerësimit që vlerëson pjekurinë e projektit.</w:t>
      </w:r>
    </w:p>
    <w:p w14:paraId="3AC9784E" w14:textId="514B5C5C" w:rsidR="00A76C67" w:rsidRPr="00EF1E7B" w:rsidRDefault="00A76C67" w:rsidP="00EF1E7B">
      <w:pPr>
        <w:jc w:val="both"/>
        <w:rPr>
          <w:lang w:val="sq-AL"/>
        </w:rPr>
      </w:pPr>
    </w:p>
    <w:p w14:paraId="6756D1BC" w14:textId="2C25A737" w:rsidR="00576C7D" w:rsidRPr="00EF1E7B" w:rsidRDefault="00DA299E" w:rsidP="00093A3C">
      <w:pPr>
        <w:jc w:val="both"/>
        <w:rPr>
          <w:u w:val="single"/>
          <w:lang w:val="sq-AL"/>
        </w:rPr>
      </w:pPr>
      <w:r w:rsidRPr="00EF1E7B">
        <w:rPr>
          <w:u w:val="single"/>
          <w:lang w:val="sq-AL"/>
        </w:rPr>
        <w:t>2.1.2. Numri i aplikacioneve - a mund të paraqesin aplikantët nga Thirrja e pare një aplikim tjetër në Thirrjen e 2-të dhe si llogariten partneritetet?</w:t>
      </w:r>
    </w:p>
    <w:p w14:paraId="77033436" w14:textId="2C780E29" w:rsidR="00576C7D" w:rsidRPr="00EF1E7B" w:rsidRDefault="00DA299E" w:rsidP="00C453E4">
      <w:pPr>
        <w:rPr>
          <w:u w:val="single"/>
          <w:lang w:val="sq-AL"/>
        </w:rPr>
      </w:pPr>
      <w:r w:rsidRPr="00EF1E7B">
        <w:rPr>
          <w:lang w:val="sq-AL"/>
        </w:rPr>
        <w:t xml:space="preserve">Çdo komunë mund të paraqesë VETËM NJË Aplikim, pavarësisht nëse është individuale ose në partneritet me një komunë tjetër (a). Sidoqoftë, kjo nuk vlen për aplikimet e paraqitura nga Qendrat Rajonale. Kjo do të thotë që një komunë mund të paraqesë vetë ose një kërkesë për partneritet ndër-komunal, dhe në të njëjtën kohë të jetë përfituesi i listuar në aplikacionin e paraqitur nga Qendra Rajonale. </w:t>
      </w:r>
      <w:r w:rsidRPr="00EF1E7B">
        <w:rPr>
          <w:u w:val="single"/>
          <w:lang w:val="sq-AL"/>
        </w:rPr>
        <w:t>Qendrat rajonale mund të pa</w:t>
      </w:r>
      <w:r w:rsidR="009B3A32" w:rsidRPr="00EF1E7B">
        <w:rPr>
          <w:u w:val="single"/>
          <w:lang w:val="sq-AL"/>
        </w:rPr>
        <w:t>raqesin VETËM NJË APLIKIM SECILA</w:t>
      </w:r>
      <w:r w:rsidRPr="00EF1E7B">
        <w:rPr>
          <w:u w:val="single"/>
          <w:lang w:val="sq-AL"/>
        </w:rPr>
        <w:t>, pavarësisht nga</w:t>
      </w:r>
      <w:r w:rsidR="00991D88">
        <w:rPr>
          <w:u w:val="single"/>
          <w:lang w:val="sq-AL"/>
        </w:rPr>
        <w:t xml:space="preserve"> numri i bashkive në rajonin e planifikimit</w:t>
      </w:r>
      <w:r w:rsidRPr="00EF1E7B">
        <w:rPr>
          <w:u w:val="single"/>
          <w:lang w:val="sq-AL"/>
        </w:rPr>
        <w:t>.</w:t>
      </w:r>
    </w:p>
    <w:p w14:paraId="4C44BA8C" w14:textId="77777777" w:rsidR="00EF1E7B" w:rsidRPr="00EF1E7B" w:rsidRDefault="00EF1E7B" w:rsidP="00C453E4">
      <w:pPr>
        <w:rPr>
          <w:u w:val="single"/>
          <w:lang w:val="sq-AL"/>
        </w:rPr>
      </w:pPr>
    </w:p>
    <w:p w14:paraId="18AFD711" w14:textId="22F1A38B" w:rsidR="00DA299E" w:rsidRPr="00EF1E7B" w:rsidRDefault="00DA299E" w:rsidP="00EF1E7B">
      <w:pPr>
        <w:jc w:val="both"/>
        <w:rPr>
          <w:lang w:val="sq-AL"/>
        </w:rPr>
      </w:pPr>
      <w:r w:rsidRPr="00EF1E7B">
        <w:rPr>
          <w:u w:val="single"/>
          <w:lang w:val="sq-AL"/>
        </w:rPr>
        <w:t>2.1.3. Kualifikueshmëria</w:t>
      </w:r>
      <w:bookmarkStart w:id="7" w:name="_Toc20757674"/>
      <w:r w:rsidRPr="00EF1E7B">
        <w:rPr>
          <w:u w:val="single"/>
          <w:lang w:val="sq-AL"/>
        </w:rPr>
        <w:t xml:space="preserve"> e projekteve - Cilët lloje të projekteve mund të </w:t>
      </w:r>
      <w:bookmarkEnd w:id="7"/>
      <w:r w:rsidRPr="00EF1E7B">
        <w:rPr>
          <w:u w:val="single"/>
          <w:lang w:val="sq-AL"/>
        </w:rPr>
        <w:t>marrin fonde?</w:t>
      </w:r>
      <w:r w:rsidRPr="00EF1E7B">
        <w:rPr>
          <w:u w:val="single"/>
          <w:lang w:val="sq-AL"/>
        </w:rPr>
        <w:br/>
      </w:r>
      <w:r w:rsidRPr="00EF1E7B">
        <w:rPr>
          <w:lang w:val="sq-AL"/>
        </w:rPr>
        <w:t xml:space="preserve">Mundësia e projekteve të zhvillimit lokal që mund të marrin fonde në fazën e përgatitjes (formulimit) </w:t>
      </w:r>
      <w:r w:rsidRPr="00EF1E7B">
        <w:rPr>
          <w:lang w:val="sq-AL"/>
        </w:rPr>
        <w:lastRenderedPageBreak/>
        <w:t>nën këtë Thirrje për propozime është përcaktuar (kryesisht) nga niveli i arritjes së qëllimeve përkatëse të zhvillimit të qëndrueshëm (SDG) në nivelin kombëtar, si dhe analiza e situatës dhe të dhëna të dhëna nga komunat për zhvillimin e Ind</w:t>
      </w:r>
      <w:r w:rsidR="009B3A32" w:rsidRPr="00EF1E7B">
        <w:rPr>
          <w:lang w:val="sq-AL"/>
        </w:rPr>
        <w:t>eksit të Zhvillimit Komunal (IZHK</w:t>
      </w:r>
      <w:r w:rsidRPr="00EF1E7B">
        <w:rPr>
          <w:lang w:val="sq-AL"/>
        </w:rPr>
        <w:t>).</w:t>
      </w:r>
    </w:p>
    <w:p w14:paraId="67C02E4F" w14:textId="63215DC0" w:rsidR="00DA299E" w:rsidRPr="00EF1E7B" w:rsidRDefault="00DA299E" w:rsidP="00093A3C">
      <w:pPr>
        <w:jc w:val="both"/>
        <w:rPr>
          <w:lang w:val="sq-AL"/>
        </w:rPr>
      </w:pPr>
    </w:p>
    <w:p w14:paraId="69402B4C" w14:textId="12167F5F" w:rsidR="00237C77" w:rsidRPr="00EF1E7B" w:rsidRDefault="009B3A32" w:rsidP="00EF1E7B">
      <w:pPr>
        <w:jc w:val="both"/>
        <w:rPr>
          <w:lang w:val="sq-AL"/>
        </w:rPr>
      </w:pPr>
      <w:r w:rsidRPr="00EF1E7B">
        <w:rPr>
          <w:lang w:val="sq-AL"/>
        </w:rPr>
        <w:t>Të kualifikueshme j</w:t>
      </w:r>
      <w:r w:rsidR="00DA299E" w:rsidRPr="00EF1E7B">
        <w:rPr>
          <w:lang w:val="sq-AL"/>
        </w:rPr>
        <w:t>anë ata projekte që përfshihen në tre grupet kryesore në vijim</w:t>
      </w:r>
      <w:r w:rsidR="00237C77" w:rsidRPr="00EF1E7B">
        <w:rPr>
          <w:lang w:val="sq-AL"/>
        </w:rPr>
        <w:t>:</w:t>
      </w:r>
    </w:p>
    <w:p w14:paraId="5DCA0223" w14:textId="77777777" w:rsidR="00237C77" w:rsidRPr="00EF1E7B" w:rsidRDefault="00237C77" w:rsidP="00237C77">
      <w:pPr>
        <w:rPr>
          <w:lang w:val="sq-AL"/>
        </w:rPr>
      </w:pPr>
    </w:p>
    <w:p w14:paraId="76B43320" w14:textId="77777777" w:rsidR="00DA299E" w:rsidRPr="00EF1E7B" w:rsidRDefault="00DA299E" w:rsidP="00EF1E7B">
      <w:pPr>
        <w:rPr>
          <w:lang w:val="sq-AL"/>
        </w:rPr>
      </w:pPr>
      <w:r w:rsidRPr="00EF1E7B">
        <w:rPr>
          <w:lang w:val="sq-AL"/>
        </w:rPr>
        <w:t xml:space="preserve">1. Infrastruktura komunale, e transportit dhe afarizmit: </w:t>
      </w:r>
    </w:p>
    <w:p w14:paraId="7A1A4E41" w14:textId="77777777" w:rsidR="00DA299E" w:rsidRPr="00EF1E7B" w:rsidRDefault="00DA299E" w:rsidP="00EF1E7B">
      <w:pPr>
        <w:numPr>
          <w:ilvl w:val="0"/>
          <w:numId w:val="6"/>
        </w:numPr>
        <w:rPr>
          <w:lang w:val="sq-AL"/>
        </w:rPr>
      </w:pPr>
      <w:r w:rsidRPr="00EF1E7B">
        <w:rPr>
          <w:lang w:val="sq-AL"/>
        </w:rPr>
        <w:t xml:space="preserve">(Ri)ndërtimi i rrugëve lokale, përfshi asfaltimi dhe ndërtimi i trotuareve. Duhet të dorëzohet dëshmi që komunikacioni në çast shkakton “ngushtim rruge”, e që paraqet pengesë për zhvillimin lokal ekonomik e social ose që ekzistojnë probleme që lidhen me sigurinë e të gjithë pjesëmarrësve në komunikacion.  </w:t>
      </w:r>
    </w:p>
    <w:p w14:paraId="5E3908BA" w14:textId="77777777" w:rsidR="00DA299E" w:rsidRPr="00EF1E7B" w:rsidRDefault="00DA299E" w:rsidP="00EF1E7B">
      <w:pPr>
        <w:numPr>
          <w:ilvl w:val="0"/>
          <w:numId w:val="6"/>
        </w:numPr>
        <w:rPr>
          <w:lang w:val="sq-AL"/>
        </w:rPr>
      </w:pPr>
      <w:r w:rsidRPr="00EF1E7B">
        <w:rPr>
          <w:lang w:val="sq-AL"/>
        </w:rPr>
        <w:t>Ndërtim dhe rinovim të rrjetit të furnizimit me ujë (ujësjellësi kryesorë, rrjeti i distribuimit, kolektorët e ujrave të zezë, etj.);</w:t>
      </w:r>
    </w:p>
    <w:p w14:paraId="4D109DD0" w14:textId="77777777" w:rsidR="00DA299E" w:rsidRPr="00EF1E7B" w:rsidRDefault="00DA299E" w:rsidP="00EF1E7B">
      <w:pPr>
        <w:numPr>
          <w:ilvl w:val="0"/>
          <w:numId w:val="6"/>
        </w:numPr>
        <w:rPr>
          <w:lang w:val="sq-AL"/>
        </w:rPr>
      </w:pPr>
      <w:r w:rsidRPr="00EF1E7B">
        <w:rPr>
          <w:lang w:val="sq-AL"/>
        </w:rPr>
        <w:t>Urat lokale, kalimet e këmbësorëve, shtigje çiklistësh e këmbësorësh, transporti publik (ndalesa autobusësh, stacione hekurudhore, e infrastrukturë e ngjashme);</w:t>
      </w:r>
    </w:p>
    <w:p w14:paraId="11831107" w14:textId="77777777" w:rsidR="00DA299E" w:rsidRPr="00EF1E7B" w:rsidRDefault="00DA299E" w:rsidP="00EF1E7B">
      <w:pPr>
        <w:numPr>
          <w:ilvl w:val="0"/>
          <w:numId w:val="6"/>
        </w:numPr>
        <w:rPr>
          <w:lang w:val="sq-AL"/>
        </w:rPr>
      </w:pPr>
      <w:r w:rsidRPr="00EF1E7B">
        <w:rPr>
          <w:lang w:val="sq-AL"/>
        </w:rPr>
        <w:t xml:space="preserve">Projekte të (ri)ndërtimit të furnizimit me energjie lektrike, ndriçimi rrugor, elektrifikimi ose rritja e kapacitetit të infrastrukturës për nevojat e ekonomisë. Nevojitet dëshmi në formë të marrëveshjeve të nënshkruara dhe/ose duhet të dorëzohet letër qëllimi; </w:t>
      </w:r>
    </w:p>
    <w:p w14:paraId="6C30F290" w14:textId="77777777" w:rsidR="00DA299E" w:rsidRPr="00EF1E7B" w:rsidRDefault="00DA299E" w:rsidP="00EF1E7B">
      <w:pPr>
        <w:numPr>
          <w:ilvl w:val="0"/>
          <w:numId w:val="6"/>
        </w:numPr>
        <w:rPr>
          <w:lang w:val="sq-AL"/>
        </w:rPr>
      </w:pPr>
      <w:r w:rsidRPr="00EF1E7B">
        <w:rPr>
          <w:lang w:val="sq-AL"/>
        </w:rPr>
        <w:t xml:space="preserve">Projekte infrastrukture që lidhen me afarizmin, të kufizuara në ndërmarrje të vogla dhe të mesme (NVM); (ri)ndërtimi i tregjeve të hapura dhe të mbyllura, zona afariste dhe sipërmarrëse, inkubatorë afarizmi, qendra start up e të ngjashme. </w:t>
      </w:r>
    </w:p>
    <w:p w14:paraId="536337D0" w14:textId="77777777" w:rsidR="00237C77" w:rsidRPr="00EF1E7B" w:rsidRDefault="00237C77" w:rsidP="00237C77">
      <w:pPr>
        <w:rPr>
          <w:lang w:val="sq-AL"/>
        </w:rPr>
      </w:pPr>
    </w:p>
    <w:p w14:paraId="2060FF5B" w14:textId="6C0E4C65" w:rsidR="00237C77" w:rsidRPr="00EF1E7B" w:rsidRDefault="00DA299E" w:rsidP="00EF1E7B">
      <w:pPr>
        <w:rPr>
          <w:lang w:val="sq-AL"/>
        </w:rPr>
      </w:pPr>
      <w:r w:rsidRPr="00EF1E7B">
        <w:rPr>
          <w:lang w:val="sq-AL"/>
        </w:rPr>
        <w:t>2. Infrastruktura sociale</w:t>
      </w:r>
      <w:r w:rsidR="00237C77" w:rsidRPr="00EF1E7B">
        <w:rPr>
          <w:lang w:val="sq-AL"/>
        </w:rPr>
        <w:t>:</w:t>
      </w:r>
    </w:p>
    <w:p w14:paraId="27491E47" w14:textId="6BA5CC66" w:rsidR="00237C77" w:rsidRPr="00EF1E7B" w:rsidRDefault="00DA299E" w:rsidP="00EF1E7B">
      <w:pPr>
        <w:pStyle w:val="ListParagraph"/>
        <w:numPr>
          <w:ilvl w:val="0"/>
          <w:numId w:val="7"/>
        </w:numPr>
        <w:jc w:val="both"/>
        <w:rPr>
          <w:lang w:val="sq-AL"/>
        </w:rPr>
      </w:pPr>
      <w:r w:rsidRPr="00EF1E7B">
        <w:rPr>
          <w:lang w:val="sq-AL"/>
        </w:rPr>
        <w:t>(Ri)ndërtimi i infrastrukturës në arsim dhe arsimin parashkollor: shkolla dhe çerdhe</w:t>
      </w:r>
      <w:r w:rsidR="00862CC9" w:rsidRPr="00EF1E7B">
        <w:rPr>
          <w:lang w:val="sq-AL"/>
        </w:rPr>
        <w:t>;</w:t>
      </w:r>
      <w:r w:rsidR="00237C77" w:rsidRPr="00EF1E7B">
        <w:rPr>
          <w:lang w:val="sq-AL"/>
        </w:rPr>
        <w:t xml:space="preserve"> </w:t>
      </w:r>
    </w:p>
    <w:p w14:paraId="3B1B52C6" w14:textId="04211337" w:rsidR="00237C77" w:rsidRPr="00EF1E7B" w:rsidRDefault="00DA299E" w:rsidP="00EF1E7B">
      <w:pPr>
        <w:pStyle w:val="ListParagraph"/>
        <w:numPr>
          <w:ilvl w:val="0"/>
          <w:numId w:val="7"/>
        </w:numPr>
        <w:jc w:val="both"/>
        <w:rPr>
          <w:lang w:val="sq-AL"/>
        </w:rPr>
      </w:pPr>
      <w:r w:rsidRPr="00EF1E7B">
        <w:rPr>
          <w:lang w:val="sq-AL"/>
        </w:rPr>
        <w:t xml:space="preserve">(Ri)ndërtimi i institucioneve të kujdesit për pleqtë dhe infrastruktura që rrethon objektet e shëndetit publik, veçanërisht me fokus në mësimet e nxjerra nga shpërthimi aktual </w:t>
      </w:r>
      <w:r w:rsidR="007A7AB5" w:rsidRPr="00EF1E7B">
        <w:rPr>
          <w:lang w:val="sq-AL"/>
        </w:rPr>
        <w:t xml:space="preserve">i </w:t>
      </w:r>
      <w:r w:rsidRPr="00EF1E7B">
        <w:rPr>
          <w:lang w:val="sq-AL"/>
        </w:rPr>
        <w:t>pandemisë  nga COVID-19 - rrugët dhe pikat e hyrjes, parkingjet, hyrja për shërbime ndihmëse, etj.</w:t>
      </w:r>
      <w:r w:rsidR="00862CC9" w:rsidRPr="00EF1E7B">
        <w:rPr>
          <w:lang w:val="sq-AL"/>
        </w:rPr>
        <w:t>;</w:t>
      </w:r>
    </w:p>
    <w:p w14:paraId="0D7CB987" w14:textId="78151DF2" w:rsidR="0035498A" w:rsidRPr="00EF1E7B" w:rsidRDefault="0035498A" w:rsidP="00EF1E7B">
      <w:pPr>
        <w:pStyle w:val="ListParagraph"/>
        <w:numPr>
          <w:ilvl w:val="0"/>
          <w:numId w:val="7"/>
        </w:numPr>
        <w:jc w:val="both"/>
        <w:rPr>
          <w:lang w:val="sq-AL"/>
        </w:rPr>
      </w:pPr>
      <w:r w:rsidRPr="00EF1E7B">
        <w:rPr>
          <w:lang w:val="sq-AL"/>
        </w:rPr>
        <w:t>projekte të rregullimit të çdo infrastrukture publike ose objektit tjetër që të bëhen të arritshme   për personat me aftësi të kufizuara;</w:t>
      </w:r>
    </w:p>
    <w:p w14:paraId="04E6174F" w14:textId="63055724" w:rsidR="0035498A" w:rsidRPr="00EF1E7B" w:rsidRDefault="0035498A" w:rsidP="00EF1E7B">
      <w:pPr>
        <w:pStyle w:val="ListParagraph"/>
        <w:numPr>
          <w:ilvl w:val="0"/>
          <w:numId w:val="7"/>
        </w:numPr>
        <w:jc w:val="both"/>
        <w:rPr>
          <w:lang w:val="sq-AL"/>
        </w:rPr>
      </w:pPr>
      <w:r w:rsidRPr="00EF1E7B">
        <w:rPr>
          <w:lang w:val="sq-AL"/>
        </w:rPr>
        <w:t>(ri) ndërtimi i hapësirave publike për të shijuar natyrën, sportet, rekreacionin, familjen,            aktivitetet sociale dhe reflektimin personal;</w:t>
      </w:r>
    </w:p>
    <w:p w14:paraId="0A18EC12" w14:textId="1B520789" w:rsidR="0035498A" w:rsidRPr="00EF1E7B" w:rsidRDefault="0035498A" w:rsidP="00EF1E7B">
      <w:pPr>
        <w:pStyle w:val="ListParagraph"/>
        <w:numPr>
          <w:ilvl w:val="0"/>
          <w:numId w:val="7"/>
        </w:numPr>
        <w:jc w:val="both"/>
        <w:rPr>
          <w:lang w:val="sq-AL"/>
        </w:rPr>
      </w:pPr>
      <w:r w:rsidRPr="00EF1E7B">
        <w:rPr>
          <w:lang w:val="sq-AL"/>
        </w:rPr>
        <w:t>(ri) ndërtimi i ndërtesave që mbështesin përfshirjen sociale dhe mirëqenien e komunitetit;</w:t>
      </w:r>
    </w:p>
    <w:p w14:paraId="08A989EF" w14:textId="21210930" w:rsidR="00237C77" w:rsidRPr="00EF1E7B" w:rsidRDefault="0035498A" w:rsidP="00EF1E7B">
      <w:pPr>
        <w:pStyle w:val="ListParagraph"/>
        <w:numPr>
          <w:ilvl w:val="0"/>
          <w:numId w:val="7"/>
        </w:numPr>
        <w:jc w:val="both"/>
        <w:rPr>
          <w:lang w:val="sq-AL"/>
        </w:rPr>
      </w:pPr>
      <w:r w:rsidRPr="00EF1E7B">
        <w:rPr>
          <w:lang w:val="sq-AL"/>
        </w:rPr>
        <w:t>(ri) ndërtimin e ndërtesave historike ose të dukshme që kanë vlerë artistike ose kulturore.</w:t>
      </w:r>
    </w:p>
    <w:p w14:paraId="1776E113" w14:textId="77777777" w:rsidR="00EF1E7B" w:rsidRPr="00EF1E7B" w:rsidRDefault="00EF1E7B" w:rsidP="00EF1E7B">
      <w:pPr>
        <w:jc w:val="both"/>
        <w:rPr>
          <w:lang w:val="sq-AL"/>
        </w:rPr>
      </w:pPr>
    </w:p>
    <w:p w14:paraId="7672B198" w14:textId="77777777" w:rsidR="00DA5B42" w:rsidRPr="00EF1E7B" w:rsidRDefault="00DA5B42" w:rsidP="00DA5B42">
      <w:pPr>
        <w:spacing w:line="280" w:lineRule="auto"/>
        <w:rPr>
          <w:lang w:val="sq-AL"/>
        </w:rPr>
      </w:pPr>
      <w:bookmarkStart w:id="8" w:name="_Hlk19869722"/>
      <w:r w:rsidRPr="00EF1E7B">
        <w:rPr>
          <w:lang w:val="sq-AL"/>
        </w:rPr>
        <w:t xml:space="preserve">3. </w:t>
      </w:r>
      <w:r w:rsidRPr="00EF1E7B">
        <w:rPr>
          <w:rFonts w:ascii="Calibri" w:eastAsia="Times New Roman" w:hAnsi="Calibri" w:cs="Arial"/>
          <w:lang w:val="sq-AL" w:eastAsia="hr-HR"/>
        </w:rPr>
        <w:t>Infrastruktura që lidhet me mjedisin jetësor, ndryshimet klimatike dhe ujin:</w:t>
      </w:r>
    </w:p>
    <w:p w14:paraId="2913FCBF" w14:textId="77777777" w:rsidR="00DA5B42" w:rsidRPr="00EF1E7B" w:rsidRDefault="00DA5B42" w:rsidP="00EF1E7B">
      <w:pPr>
        <w:numPr>
          <w:ilvl w:val="0"/>
          <w:numId w:val="8"/>
        </w:numPr>
        <w:spacing w:line="280" w:lineRule="auto"/>
        <w:contextualSpacing/>
        <w:jc w:val="both"/>
        <w:rPr>
          <w:lang w:val="sq-AL"/>
        </w:rPr>
      </w:pPr>
      <w:r w:rsidRPr="00EF1E7B">
        <w:rPr>
          <w:lang w:val="sq-AL"/>
        </w:rPr>
        <w:t>Projekte të menaxhimit të mbeturinave të forta: mbyllje të/ose rinovim deponishë; (ri)ndërtimi i objekteve të riciklimit, ndarjes ose pastrimit; pajisje të mbledhjes ose trajtimit fillestar. Kjo duhet të jetë në pajtim me strategjitë kombëtare dhe ato të drejtimit të BE-së.</w:t>
      </w:r>
    </w:p>
    <w:p w14:paraId="7ED3EDD8" w14:textId="77777777" w:rsidR="00DA5B42" w:rsidRPr="00EF1E7B" w:rsidRDefault="00DA5B42" w:rsidP="00EF1E7B">
      <w:pPr>
        <w:numPr>
          <w:ilvl w:val="0"/>
          <w:numId w:val="8"/>
        </w:numPr>
        <w:spacing w:line="280" w:lineRule="auto"/>
        <w:contextualSpacing/>
        <w:jc w:val="both"/>
        <w:rPr>
          <w:lang w:val="sq-AL"/>
        </w:rPr>
      </w:pPr>
      <w:r w:rsidRPr="00EF1E7B">
        <w:rPr>
          <w:lang w:val="sq-AL"/>
        </w:rPr>
        <w:t xml:space="preserve">Ndërrim ose futje të sistemeve të ngrohjes qendrore – trancizion drejt burimeve të qëndrueshme të energjisë, për shembull kalimi nga karburante fosile te burimet më të </w:t>
      </w:r>
      <w:r w:rsidRPr="00EF1E7B">
        <w:rPr>
          <w:lang w:val="sq-AL"/>
        </w:rPr>
        <w:lastRenderedPageBreak/>
        <w:t xml:space="preserve">qëndrueshme të energjisë; dokumentim teknik të vlerësimit të potencialeve të shfrytëzimit të burimeve të rinovueshme të energjisë. </w:t>
      </w:r>
    </w:p>
    <w:bookmarkEnd w:id="8"/>
    <w:p w14:paraId="23587C18" w14:textId="77777777" w:rsidR="00DA5B42" w:rsidRPr="00EF1E7B" w:rsidRDefault="00DA5B42" w:rsidP="00EF1E7B">
      <w:pPr>
        <w:numPr>
          <w:ilvl w:val="0"/>
          <w:numId w:val="8"/>
        </w:numPr>
        <w:spacing w:line="280" w:lineRule="auto"/>
        <w:contextualSpacing/>
        <w:jc w:val="both"/>
        <w:rPr>
          <w:lang w:val="sq-AL"/>
        </w:rPr>
      </w:pPr>
      <w:r w:rsidRPr="00EF1E7B">
        <w:rPr>
          <w:lang w:val="sq-AL"/>
        </w:rPr>
        <w:t>Projekte të furnizimit me ujë: mbrojtje të burimeve, ndërtim të ujësjellësve dhe pjesëve tjera të sistemit – stacione pastrimi, pompa, magazina, etj. (deri te vendi ku ndërlidhen amvisëritë</w:t>
      </w:r>
      <w:r w:rsidRPr="00EF1E7B">
        <w:rPr>
          <w:rFonts w:ascii="Calibri" w:eastAsia="Times New Roman" w:hAnsi="Calibri" w:cs="Arial"/>
          <w:lang w:val="sq-AL" w:eastAsia="hr-HR"/>
        </w:rPr>
        <w:t>).</w:t>
      </w:r>
    </w:p>
    <w:p w14:paraId="149D6BAE" w14:textId="77777777" w:rsidR="00DA5B42" w:rsidRPr="00EF1E7B" w:rsidRDefault="00DA5B42" w:rsidP="00EF1E7B">
      <w:pPr>
        <w:numPr>
          <w:ilvl w:val="0"/>
          <w:numId w:val="8"/>
        </w:numPr>
        <w:spacing w:line="280" w:lineRule="auto"/>
        <w:contextualSpacing/>
        <w:jc w:val="both"/>
        <w:rPr>
          <w:lang w:val="sq-AL"/>
        </w:rPr>
      </w:pPr>
      <w:r w:rsidRPr="00EF1E7B">
        <w:rPr>
          <w:lang w:val="sq-AL"/>
        </w:rPr>
        <w:t>Sisteme pastrimi të ujërave të zeza, përfshi (ri)ndërtimin e sistemeve të ujitjes dhe kanalizimit, (ri)ndërtimin e stacioneve të pastrimit të ujërave të zeza.</w:t>
      </w:r>
    </w:p>
    <w:p w14:paraId="7638A635" w14:textId="77777777" w:rsidR="00DA5B42" w:rsidRPr="00EF1E7B" w:rsidRDefault="00DA5B42" w:rsidP="00EF1E7B">
      <w:pPr>
        <w:numPr>
          <w:ilvl w:val="0"/>
          <w:numId w:val="8"/>
        </w:numPr>
        <w:spacing w:line="280" w:lineRule="auto"/>
        <w:contextualSpacing/>
        <w:jc w:val="both"/>
        <w:rPr>
          <w:lang w:val="sq-AL"/>
        </w:rPr>
      </w:pPr>
      <w:r w:rsidRPr="00EF1E7B">
        <w:rPr>
          <w:lang w:val="sq-AL"/>
        </w:rPr>
        <w:t>(Ri)ndërtimi i shtretërve të lumenjve dhe masa tjera të mbrojtjes nga / menaxhimit të përmbytjeve.</w:t>
      </w:r>
    </w:p>
    <w:p w14:paraId="1C8673A5" w14:textId="77777777" w:rsidR="001B6741" w:rsidRPr="00EF1E7B" w:rsidRDefault="001B6741" w:rsidP="00C453E4">
      <w:pPr>
        <w:rPr>
          <w:u w:val="single"/>
          <w:lang w:val="sq-AL"/>
        </w:rPr>
      </w:pPr>
    </w:p>
    <w:p w14:paraId="35B7E638" w14:textId="5EC4C90B" w:rsidR="00DA5B42" w:rsidRPr="00EF1E7B" w:rsidRDefault="00DA5B42" w:rsidP="00DA5B42">
      <w:pPr>
        <w:spacing w:line="280" w:lineRule="auto"/>
        <w:rPr>
          <w:u w:val="single"/>
          <w:lang w:val="sq-AL"/>
        </w:rPr>
      </w:pPr>
      <w:r w:rsidRPr="00EF1E7B">
        <w:rPr>
          <w:u w:val="single"/>
          <w:lang w:val="sq-AL"/>
        </w:rPr>
        <w:t xml:space="preserve">Llojet </w:t>
      </w:r>
      <w:r w:rsidR="00525657">
        <w:rPr>
          <w:u w:val="single"/>
          <w:lang w:val="sq-AL"/>
        </w:rPr>
        <w:t xml:space="preserve">dhe sektorët </w:t>
      </w:r>
      <w:r w:rsidRPr="00EF1E7B">
        <w:rPr>
          <w:u w:val="single"/>
          <w:lang w:val="sq-AL"/>
        </w:rPr>
        <w:t xml:space="preserve">e projekteve </w:t>
      </w:r>
      <w:r w:rsidR="00525657">
        <w:rPr>
          <w:u w:val="single"/>
          <w:lang w:val="sq-AL"/>
        </w:rPr>
        <w:t xml:space="preserve"> të cilat nuk janë të kualifikueshme</w:t>
      </w:r>
      <w:r w:rsidRPr="00EF1E7B">
        <w:rPr>
          <w:u w:val="single"/>
          <w:lang w:val="sq-AL"/>
        </w:rPr>
        <w:t xml:space="preserve"> sipas Thirrjes për propozime janë: </w:t>
      </w:r>
    </w:p>
    <w:p w14:paraId="6B07CA4F" w14:textId="77777777" w:rsidR="00DA5B42" w:rsidRPr="00EF1E7B" w:rsidRDefault="00DA5B42" w:rsidP="00DA5B42">
      <w:pPr>
        <w:pStyle w:val="ListParagraph"/>
        <w:numPr>
          <w:ilvl w:val="0"/>
          <w:numId w:val="9"/>
        </w:numPr>
        <w:spacing w:line="280" w:lineRule="auto"/>
        <w:jc w:val="both"/>
        <w:rPr>
          <w:lang w:val="sq-AL"/>
        </w:rPr>
      </w:pPr>
      <w:r w:rsidRPr="00EF1E7B">
        <w:rPr>
          <w:lang w:val="sq-AL"/>
        </w:rPr>
        <w:t>Salla sportive, përveç atyre që janë pjesë ose kryesisht shfrytëzohen dhe menaxhohen nga shkollat;</w:t>
      </w:r>
    </w:p>
    <w:p w14:paraId="24E91BFB" w14:textId="77777777" w:rsidR="00DA5B42" w:rsidRPr="00EF1E7B" w:rsidRDefault="00DA5B42" w:rsidP="00DA5B42">
      <w:pPr>
        <w:pStyle w:val="ListParagraph"/>
        <w:numPr>
          <w:ilvl w:val="0"/>
          <w:numId w:val="9"/>
        </w:numPr>
        <w:spacing w:line="280" w:lineRule="auto"/>
        <w:jc w:val="both"/>
        <w:rPr>
          <w:lang w:val="sq-AL"/>
        </w:rPr>
      </w:pPr>
      <w:r w:rsidRPr="00EF1E7B">
        <w:rPr>
          <w:lang w:val="sq-AL"/>
        </w:rPr>
        <w:t>Çdo projekt infrastrukturor që kërkon zgjidhje të çështjeve pronësore, shembull të drejtat pronësore nuk janë të qarta ose ekzistojnë konteste;</w:t>
      </w:r>
    </w:p>
    <w:p w14:paraId="1DE33996" w14:textId="77777777" w:rsidR="00DA5B42" w:rsidRPr="00EF1E7B" w:rsidRDefault="00DA5B42" w:rsidP="00DA5B42">
      <w:pPr>
        <w:pStyle w:val="ListParagraph"/>
        <w:numPr>
          <w:ilvl w:val="0"/>
          <w:numId w:val="9"/>
        </w:numPr>
        <w:spacing w:line="280" w:lineRule="auto"/>
        <w:jc w:val="both"/>
        <w:rPr>
          <w:lang w:val="sq-AL"/>
        </w:rPr>
      </w:pPr>
      <w:r w:rsidRPr="00EF1E7B">
        <w:rPr>
          <w:lang w:val="sq-AL"/>
        </w:rPr>
        <w:t>Çdo projekt infrastrukturor që lidhet me afarizëm që bart shfrytëzim nga një përdorues dhe/ose një ndërmarrje e madhe -  kompani ose ndonjë person tjetër juridik, sipas rregullave të BE-së për ndërmarrje autonome, partnere ose të ndërlidhura</w:t>
      </w:r>
      <w:r w:rsidRPr="00EF1E7B">
        <w:rPr>
          <w:rStyle w:val="FootnoteReference"/>
          <w:lang w:val="sq-AL"/>
        </w:rPr>
        <w:footnoteReference w:id="5"/>
      </w:r>
      <w:r w:rsidRPr="00EF1E7B">
        <w:rPr>
          <w:lang w:val="sq-AL"/>
        </w:rPr>
        <w:t>.</w:t>
      </w:r>
    </w:p>
    <w:p w14:paraId="3124FB52" w14:textId="78B8C9F5" w:rsidR="00DA5B42" w:rsidRPr="00EF1E7B" w:rsidRDefault="00DA5B42" w:rsidP="00DA5B42">
      <w:pPr>
        <w:pStyle w:val="ListParagraph"/>
        <w:numPr>
          <w:ilvl w:val="0"/>
          <w:numId w:val="9"/>
        </w:numPr>
        <w:spacing w:line="280" w:lineRule="auto"/>
        <w:jc w:val="both"/>
        <w:rPr>
          <w:lang w:val="sq-AL"/>
        </w:rPr>
      </w:pPr>
      <w:r w:rsidRPr="00EF1E7B">
        <w:rPr>
          <w:lang w:val="sq-AL"/>
        </w:rPr>
        <w:t>Çdo projekti infrastrukturor që lidhet me mjedisin jetësor e që nuk është në pajtim me strategjitë kombëtare</w:t>
      </w:r>
      <w:r w:rsidR="003A6FCB">
        <w:rPr>
          <w:lang w:val="sq-AL"/>
        </w:rPr>
        <w:t>,</w:t>
      </w:r>
      <w:r w:rsidRPr="00EF1E7B">
        <w:rPr>
          <w:lang w:val="sq-AL"/>
        </w:rPr>
        <w:t xml:space="preserve"> </w:t>
      </w:r>
      <w:r w:rsidR="003A6FCB">
        <w:rPr>
          <w:lang w:val="sq-AL"/>
        </w:rPr>
        <w:t>legjislacionin dhe drejtimet e BE-së</w:t>
      </w:r>
      <w:r w:rsidRPr="00EF1E7B">
        <w:rPr>
          <w:lang w:val="sq-AL"/>
        </w:rPr>
        <w:t>.</w:t>
      </w:r>
    </w:p>
    <w:p w14:paraId="2CE1FF89" w14:textId="77777777" w:rsidR="00542218" w:rsidRPr="00EF1E7B" w:rsidRDefault="00542218" w:rsidP="00542218">
      <w:pPr>
        <w:rPr>
          <w:lang w:val="sq-AL"/>
        </w:rPr>
      </w:pPr>
    </w:p>
    <w:p w14:paraId="2461C525" w14:textId="0B6A4B1C" w:rsidR="00DA5B42" w:rsidRPr="00EF1E7B" w:rsidRDefault="00DA5B42" w:rsidP="00EF1E7B">
      <w:pPr>
        <w:rPr>
          <w:lang w:val="sq-AL"/>
        </w:rPr>
      </w:pPr>
      <w:r w:rsidRPr="00EF1E7B">
        <w:rPr>
          <w:lang w:val="sq-AL"/>
        </w:rPr>
        <w:t>Lista e llojeve të projekteve dhe sferave që përzgjedhen dhe që nuk përzgjedhen të prezantuara këtu nuk është përfundimtare dhe UNDP-ja e ka të drejtën e pranimit ose refuzimit të ndonjë propozim-projekti që nuk përmendet këtu, e përcjellur me sqarim me shkrim dhe arsyetim.</w:t>
      </w:r>
    </w:p>
    <w:p w14:paraId="400021A2" w14:textId="77777777" w:rsidR="00436C87" w:rsidRPr="00EF1E7B" w:rsidRDefault="00436C87" w:rsidP="00C453E4">
      <w:pPr>
        <w:rPr>
          <w:lang w:val="sq-AL"/>
        </w:rPr>
      </w:pPr>
    </w:p>
    <w:p w14:paraId="6FE0F7BB" w14:textId="43725D34" w:rsidR="002414BC" w:rsidRPr="00EF1E7B" w:rsidRDefault="00DA5B42" w:rsidP="00EF1E7B">
      <w:pPr>
        <w:rPr>
          <w:u w:val="single"/>
          <w:lang w:val="sq-AL"/>
        </w:rPr>
      </w:pPr>
      <w:bookmarkStart w:id="9" w:name="_Toc20757675"/>
      <w:r w:rsidRPr="00EF1E7B">
        <w:rPr>
          <w:u w:val="single"/>
          <w:lang w:val="sq-AL"/>
        </w:rPr>
        <w:t>2.1.4. Pranueshmëria e aktiviteteve: Cilat lloje të dokumentacionit mund të financohen nga Thirrja?</w:t>
      </w:r>
      <w:bookmarkEnd w:id="9"/>
    </w:p>
    <w:p w14:paraId="7437679A" w14:textId="77777777" w:rsidR="00DA5B42" w:rsidRPr="00EF1E7B" w:rsidRDefault="00DA5B42" w:rsidP="00EF1E7B">
      <w:pPr>
        <w:rPr>
          <w:lang w:val="sq-AL"/>
        </w:rPr>
      </w:pPr>
      <w:r w:rsidRPr="00EF1E7B">
        <w:rPr>
          <w:lang w:val="sq-AL"/>
        </w:rPr>
        <w:t>Llojet e dokumenteve projektuese në vijim mund të fitojnë mbështetje financiare:</w:t>
      </w:r>
    </w:p>
    <w:p w14:paraId="0C8E6E11" w14:textId="77777777" w:rsidR="00DA5B42" w:rsidRPr="00EF1E7B" w:rsidRDefault="00DA5B42" w:rsidP="00EF1E7B">
      <w:pPr>
        <w:numPr>
          <w:ilvl w:val="0"/>
          <w:numId w:val="10"/>
        </w:numPr>
        <w:rPr>
          <w:lang w:val="sq-AL"/>
        </w:rPr>
      </w:pPr>
      <w:r w:rsidRPr="00EF1E7B">
        <w:rPr>
          <w:lang w:val="sq-AL"/>
        </w:rPr>
        <w:t xml:space="preserve">projekte ndërtimi në të gjitha fazat (projekt ideor, projekt bazë...) </w:t>
      </w:r>
    </w:p>
    <w:p w14:paraId="4F21440A" w14:textId="77777777" w:rsidR="00DA5B42" w:rsidRPr="00EF1E7B" w:rsidRDefault="00DA5B42" w:rsidP="00EF1E7B">
      <w:pPr>
        <w:numPr>
          <w:ilvl w:val="0"/>
          <w:numId w:val="10"/>
        </w:numPr>
        <w:rPr>
          <w:lang w:val="sq-AL"/>
        </w:rPr>
      </w:pPr>
      <w:r w:rsidRPr="00EF1E7B">
        <w:rPr>
          <w:lang w:val="sq-AL"/>
        </w:rPr>
        <w:t>analiza gjeodezike, gjeologjike, gjeofizike, gjeomekanike dhe hidrologjike</w:t>
      </w:r>
    </w:p>
    <w:p w14:paraId="4A3C0082" w14:textId="77777777" w:rsidR="00DA5B42" w:rsidRPr="00EF1E7B" w:rsidRDefault="00DA5B42" w:rsidP="00EF1E7B">
      <w:pPr>
        <w:numPr>
          <w:ilvl w:val="0"/>
          <w:numId w:val="10"/>
        </w:numPr>
        <w:rPr>
          <w:lang w:val="sq-AL"/>
        </w:rPr>
      </w:pPr>
      <w:r w:rsidRPr="00EF1E7B">
        <w:rPr>
          <w:lang w:val="sq-AL"/>
        </w:rPr>
        <w:t>studime të fizibilitetit</w:t>
      </w:r>
    </w:p>
    <w:p w14:paraId="7AEC6300" w14:textId="17B06D58" w:rsidR="00DA5B42" w:rsidRPr="00EF1E7B" w:rsidRDefault="00DA5B42" w:rsidP="00EF1E7B">
      <w:pPr>
        <w:numPr>
          <w:ilvl w:val="0"/>
          <w:numId w:val="10"/>
        </w:numPr>
        <w:rPr>
          <w:lang w:val="sq-AL"/>
        </w:rPr>
      </w:pPr>
      <w:r w:rsidRPr="00EF1E7B">
        <w:rPr>
          <w:lang w:val="sq-AL"/>
        </w:rPr>
        <w:t>analiza e harxhimeve dhe përfitimve</w:t>
      </w:r>
      <w:r w:rsidR="00271FF5">
        <w:rPr>
          <w:lang w:val="sq-AL"/>
        </w:rPr>
        <w:t xml:space="preserve"> (analiza kost-benefit)</w:t>
      </w:r>
    </w:p>
    <w:p w14:paraId="599EE6CB" w14:textId="77777777" w:rsidR="00DA5B42" w:rsidRPr="00EF1E7B" w:rsidRDefault="00DA5B42" w:rsidP="00EF1E7B">
      <w:pPr>
        <w:numPr>
          <w:ilvl w:val="0"/>
          <w:numId w:val="10"/>
        </w:numPr>
        <w:rPr>
          <w:lang w:val="sq-AL"/>
        </w:rPr>
      </w:pPr>
      <w:r w:rsidRPr="00EF1E7B">
        <w:rPr>
          <w:lang w:val="sq-AL"/>
        </w:rPr>
        <w:t>studime investimi dhe plane afarizmi (për infrastrukturë që lidhet me afarizëm)</w:t>
      </w:r>
    </w:p>
    <w:p w14:paraId="4008D3E3" w14:textId="77777777" w:rsidR="00DA5B42" w:rsidRPr="00EF1E7B" w:rsidRDefault="00DA5B42" w:rsidP="00EF1E7B">
      <w:pPr>
        <w:numPr>
          <w:ilvl w:val="0"/>
          <w:numId w:val="10"/>
        </w:numPr>
        <w:rPr>
          <w:lang w:val="sq-AL"/>
        </w:rPr>
      </w:pPr>
      <w:r w:rsidRPr="00EF1E7B">
        <w:rPr>
          <w:lang w:val="sq-AL"/>
        </w:rPr>
        <w:t>vlerësim të ndikimit në mjedisin jetësor</w:t>
      </w:r>
    </w:p>
    <w:p w14:paraId="2DB572A6" w14:textId="77777777" w:rsidR="00DA5B42" w:rsidRPr="00EF1E7B" w:rsidRDefault="00DA5B42" w:rsidP="00EF1E7B">
      <w:pPr>
        <w:numPr>
          <w:ilvl w:val="0"/>
          <w:numId w:val="10"/>
        </w:numPr>
        <w:rPr>
          <w:lang w:val="sq-AL"/>
        </w:rPr>
      </w:pPr>
      <w:r w:rsidRPr="00EF1E7B">
        <w:rPr>
          <w:lang w:val="sq-AL"/>
        </w:rPr>
        <w:t>pjesë të vetme të projekteve ndërtimore (për elektrifikim, verifikim të statikës, ujësjellës dhe kanalizim, ngrohje/ftohje, etj.) – vetëm nëse është i nevojshëm të kompletohet dokumentimi ekzistues.</w:t>
      </w:r>
    </w:p>
    <w:p w14:paraId="40F6151F" w14:textId="77777777" w:rsidR="00DA5B42" w:rsidRPr="00EF1E7B" w:rsidRDefault="00DA5B42" w:rsidP="002414BC">
      <w:pPr>
        <w:rPr>
          <w:lang w:val="sq-AL"/>
        </w:rPr>
      </w:pPr>
    </w:p>
    <w:p w14:paraId="7316C95C" w14:textId="77777777" w:rsidR="00DA5B42" w:rsidRPr="00EF1E7B" w:rsidRDefault="00DA5B42" w:rsidP="00DA5B42">
      <w:pPr>
        <w:spacing w:line="280" w:lineRule="auto"/>
        <w:rPr>
          <w:lang w:val="sq-AL"/>
        </w:rPr>
      </w:pPr>
      <w:r w:rsidRPr="00EF1E7B">
        <w:rPr>
          <w:lang w:val="sq-AL"/>
        </w:rPr>
        <w:t>Gjithashtu, llojet e dokumenteve vijuese mund të konsiderohen të pranueshme:</w:t>
      </w:r>
      <w:r w:rsidRPr="00EF1E7B">
        <w:rPr>
          <w:lang w:val="sq-AL"/>
        </w:rPr>
        <w:tab/>
      </w:r>
    </w:p>
    <w:p w14:paraId="4C37BE70" w14:textId="77777777" w:rsidR="00DA5B42" w:rsidRPr="00EF1E7B" w:rsidRDefault="00DA5B42" w:rsidP="00DA5B42">
      <w:pPr>
        <w:pStyle w:val="ListParagraph"/>
        <w:numPr>
          <w:ilvl w:val="0"/>
          <w:numId w:val="11"/>
        </w:numPr>
        <w:spacing w:line="280" w:lineRule="auto"/>
        <w:jc w:val="both"/>
        <w:rPr>
          <w:lang w:val="sq-AL"/>
        </w:rPr>
      </w:pPr>
      <w:r w:rsidRPr="00EF1E7B">
        <w:rPr>
          <w:lang w:val="sq-AL"/>
        </w:rPr>
        <w:t xml:space="preserve">plane detale urbanistike (plane që zbatohen një ose më shumë blloqe urbanistike të nevojshme për t’u lejuar investime greenfield dhe brownfield, ndërtime të objekteve publike </w:t>
      </w:r>
      <w:r w:rsidRPr="00EF1E7B">
        <w:rPr>
          <w:lang w:val="sq-AL"/>
        </w:rPr>
        <w:lastRenderedPageBreak/>
        <w:t>etj.), në raste kur ky vendim është arritur nëpërmjet konsultimeve publike – respektivisht të shqyrtuar paraprakisht në forume të bashkësisë;</w:t>
      </w:r>
    </w:p>
    <w:p w14:paraId="1191BDCF" w14:textId="77777777" w:rsidR="00DA5B42" w:rsidRPr="00EF1E7B" w:rsidRDefault="00DA5B42" w:rsidP="00DA5B42">
      <w:pPr>
        <w:pStyle w:val="ListParagraph"/>
        <w:numPr>
          <w:ilvl w:val="0"/>
          <w:numId w:val="11"/>
        </w:numPr>
        <w:spacing w:line="280" w:lineRule="auto"/>
        <w:jc w:val="both"/>
        <w:rPr>
          <w:lang w:val="sq-AL"/>
        </w:rPr>
      </w:pPr>
      <w:r w:rsidRPr="00EF1E7B">
        <w:rPr>
          <w:lang w:val="sq-AL"/>
        </w:rPr>
        <w:t>revizion të projekteve ekzistuese të dokumentimit projektues;</w:t>
      </w:r>
    </w:p>
    <w:p w14:paraId="1F2B6FFD" w14:textId="77777777" w:rsidR="00DA5B42" w:rsidRPr="00EF1E7B" w:rsidRDefault="00DA5B42" w:rsidP="00DA5B42">
      <w:pPr>
        <w:pStyle w:val="ListParagraph"/>
        <w:numPr>
          <w:ilvl w:val="0"/>
          <w:numId w:val="11"/>
        </w:numPr>
        <w:spacing w:line="280" w:lineRule="auto"/>
        <w:jc w:val="both"/>
        <w:rPr>
          <w:lang w:val="sq-AL"/>
        </w:rPr>
      </w:pPr>
      <w:r w:rsidRPr="00EF1E7B">
        <w:rPr>
          <w:lang w:val="sq-AL"/>
        </w:rPr>
        <w:t xml:space="preserve">pako e plotë e dokumenteve të aplikimit për fonde tjera – formulare aplikimi, buxhete, veçori teknike, lëndë, e të ngjashme.; </w:t>
      </w:r>
    </w:p>
    <w:p w14:paraId="607402D1" w14:textId="77777777" w:rsidR="00DA5B42" w:rsidRPr="00EF1E7B" w:rsidRDefault="00DA5B42" w:rsidP="00DA5B42">
      <w:pPr>
        <w:pStyle w:val="ListParagraph"/>
        <w:numPr>
          <w:ilvl w:val="0"/>
          <w:numId w:val="11"/>
        </w:numPr>
        <w:spacing w:line="280" w:lineRule="auto"/>
        <w:jc w:val="both"/>
        <w:rPr>
          <w:lang w:val="sq-AL"/>
        </w:rPr>
      </w:pPr>
      <w:bookmarkStart w:id="10" w:name="_Hlk19869745"/>
      <w:r w:rsidRPr="00EF1E7B">
        <w:rPr>
          <w:lang w:val="sq-AL"/>
        </w:rPr>
        <w:t>veçori teknike të pajisjeve të përbëra (shembull pajisje të menaxhimit të mbeturinave);</w:t>
      </w:r>
    </w:p>
    <w:p w14:paraId="5D9CF7D2" w14:textId="77777777" w:rsidR="00DA5B42" w:rsidRPr="00EF1E7B" w:rsidRDefault="00DA5B42" w:rsidP="00DA5B42">
      <w:pPr>
        <w:pStyle w:val="ListParagraph"/>
        <w:numPr>
          <w:ilvl w:val="0"/>
          <w:numId w:val="11"/>
        </w:numPr>
        <w:spacing w:line="280" w:lineRule="auto"/>
        <w:jc w:val="both"/>
        <w:rPr>
          <w:lang w:val="sq-AL"/>
        </w:rPr>
      </w:pPr>
      <w:r w:rsidRPr="00EF1E7B">
        <w:rPr>
          <w:lang w:val="sq-AL"/>
        </w:rPr>
        <w:t>studime tekniko-teknologjike, etj.</w:t>
      </w:r>
    </w:p>
    <w:bookmarkEnd w:id="10"/>
    <w:p w14:paraId="032865CE" w14:textId="77777777" w:rsidR="002414BC" w:rsidRPr="00EF1E7B" w:rsidRDefault="002414BC" w:rsidP="00093A3C">
      <w:pPr>
        <w:jc w:val="both"/>
        <w:rPr>
          <w:u w:val="single"/>
          <w:lang w:val="sq-AL"/>
        </w:rPr>
      </w:pPr>
    </w:p>
    <w:p w14:paraId="4DB0E78C" w14:textId="77777777" w:rsidR="00DA5B42" w:rsidRPr="00EF1E7B" w:rsidRDefault="00DA5B42" w:rsidP="00EF1E7B">
      <w:pPr>
        <w:rPr>
          <w:lang w:val="sq-AL"/>
        </w:rPr>
      </w:pPr>
      <w:r w:rsidRPr="00EF1E7B">
        <w:rPr>
          <w:lang w:val="sq-AL"/>
        </w:rPr>
        <w:t>Lista e llojeve që përzgjedhen dhe që nuk përzgjedhen e projekteve dhe sferave të prezantuara këtu nuk është përfundimtare dhe UNDP-ja e ka të drejtën e pranimit ose refuzimit të ndonjë propozim-projekti që nuk përmendet këtu, e përcjellur me sqarim me shkrim dhe arsyetim.</w:t>
      </w:r>
    </w:p>
    <w:p w14:paraId="0ABFA96E" w14:textId="77777777" w:rsidR="00DA5B42" w:rsidRPr="00EF1E7B" w:rsidRDefault="00DA5B42" w:rsidP="001B6741">
      <w:pPr>
        <w:rPr>
          <w:lang w:val="sq-AL"/>
        </w:rPr>
      </w:pPr>
    </w:p>
    <w:p w14:paraId="754B5828" w14:textId="5312A122" w:rsidR="009A2D76" w:rsidRPr="00EF1E7B" w:rsidRDefault="00093A3C" w:rsidP="001B6741">
      <w:pPr>
        <w:rPr>
          <w:u w:val="single"/>
          <w:lang w:val="sq-AL"/>
        </w:rPr>
      </w:pPr>
      <w:r w:rsidRPr="00EF1E7B">
        <w:rPr>
          <w:u w:val="single"/>
          <w:lang w:val="sq-AL"/>
        </w:rPr>
        <w:t>2.1.</w:t>
      </w:r>
      <w:r w:rsidR="00DA5B42" w:rsidRPr="00EF1E7B">
        <w:rPr>
          <w:u w:val="single"/>
          <w:lang w:val="sq-AL"/>
        </w:rPr>
        <w:t>5 Pranueshmëria e harxhimeve (kostove)</w:t>
      </w:r>
    </w:p>
    <w:p w14:paraId="60D1F179" w14:textId="77777777" w:rsidR="00DA5B42" w:rsidRPr="00EF1E7B" w:rsidRDefault="00DA5B42" w:rsidP="00EF1E7B">
      <w:pPr>
        <w:rPr>
          <w:lang w:val="sq-AL"/>
        </w:rPr>
      </w:pPr>
      <w:r w:rsidRPr="00EF1E7B">
        <w:rPr>
          <w:lang w:val="sq-AL"/>
        </w:rPr>
        <w:t xml:space="preserve">Harxhime të pranueshme sipas kësaj Thirrjeje për propozime janë të gjitha shërbimet që i ofron pala e tretë, e që janë të nevojshme për përgatitjen e dokumentimit të nevojshëm teknik. </w:t>
      </w:r>
    </w:p>
    <w:p w14:paraId="71298F89" w14:textId="77777777" w:rsidR="00DA5B42" w:rsidRPr="00EF1E7B" w:rsidRDefault="00DA5B42" w:rsidP="00EF1E7B">
      <w:pPr>
        <w:rPr>
          <w:lang w:val="sq-AL"/>
        </w:rPr>
      </w:pPr>
      <w:r w:rsidRPr="00EF1E7B">
        <w:rPr>
          <w:lang w:val="sq-AL"/>
        </w:rPr>
        <w:t>Harxhime që nuk pranohen:</w:t>
      </w:r>
    </w:p>
    <w:p w14:paraId="62748024" w14:textId="77777777" w:rsidR="00DA5B42" w:rsidRPr="00EF1E7B" w:rsidRDefault="00DA5B42" w:rsidP="00EF1E7B">
      <w:pPr>
        <w:numPr>
          <w:ilvl w:val="0"/>
          <w:numId w:val="12"/>
        </w:numPr>
        <w:rPr>
          <w:lang w:val="sq-AL"/>
        </w:rPr>
      </w:pPr>
      <w:r w:rsidRPr="00EF1E7B">
        <w:rPr>
          <w:lang w:val="sq-AL"/>
        </w:rPr>
        <w:t>Honorare të udhëheqjes dhe honorare tjera të personelit komunal dhe ose/të qendrave rajonale;</w:t>
      </w:r>
    </w:p>
    <w:p w14:paraId="2A64CB35" w14:textId="77777777" w:rsidR="00DA5B42" w:rsidRPr="00EF1E7B" w:rsidRDefault="00DA5B42" w:rsidP="00EF1E7B">
      <w:pPr>
        <w:numPr>
          <w:ilvl w:val="0"/>
          <w:numId w:val="12"/>
        </w:numPr>
        <w:rPr>
          <w:lang w:val="sq-AL"/>
        </w:rPr>
      </w:pPr>
      <w:r w:rsidRPr="00EF1E7B">
        <w:rPr>
          <w:lang w:val="sq-AL"/>
        </w:rPr>
        <w:t>Mëditje ose kosto pagese;</w:t>
      </w:r>
    </w:p>
    <w:p w14:paraId="77D479D5" w14:textId="77777777" w:rsidR="00DA5B42" w:rsidRPr="00EF1E7B" w:rsidRDefault="00DA5B42" w:rsidP="00EF1E7B">
      <w:pPr>
        <w:numPr>
          <w:ilvl w:val="0"/>
          <w:numId w:val="12"/>
        </w:numPr>
        <w:rPr>
          <w:lang w:val="sq-AL"/>
        </w:rPr>
      </w:pPr>
      <w:r w:rsidRPr="00EF1E7B">
        <w:rPr>
          <w:lang w:val="sq-AL"/>
        </w:rPr>
        <w:t>Harxhime të pajisjeve të nevojshme për matje, matje të sërishme, e të ngjashme.</w:t>
      </w:r>
    </w:p>
    <w:p w14:paraId="045C83B2" w14:textId="77777777" w:rsidR="009A2D76" w:rsidRPr="00EF1E7B" w:rsidRDefault="009A2D76" w:rsidP="001B6741">
      <w:pPr>
        <w:rPr>
          <w:u w:val="single"/>
          <w:lang w:val="sq-AL"/>
        </w:rPr>
      </w:pPr>
    </w:p>
    <w:p w14:paraId="6C3508D2" w14:textId="2DC0928B" w:rsidR="001B6741" w:rsidRPr="00EF1E7B" w:rsidRDefault="00093A3C" w:rsidP="00EF1E7B">
      <w:pPr>
        <w:rPr>
          <w:u w:val="single"/>
          <w:lang w:val="sq-AL"/>
        </w:rPr>
      </w:pPr>
      <w:bookmarkStart w:id="11" w:name="_Toc20757677"/>
      <w:r w:rsidRPr="00EF1E7B">
        <w:rPr>
          <w:u w:val="single"/>
          <w:lang w:val="sq-AL"/>
        </w:rPr>
        <w:t>2.1.</w:t>
      </w:r>
      <w:r w:rsidR="00121CAA" w:rsidRPr="00EF1E7B">
        <w:rPr>
          <w:u w:val="single"/>
          <w:lang w:val="sq-AL"/>
        </w:rPr>
        <w:t>6</w:t>
      </w:r>
      <w:r w:rsidR="00CB7B89" w:rsidRPr="00EF1E7B">
        <w:rPr>
          <w:u w:val="single"/>
          <w:lang w:val="sq-AL"/>
        </w:rPr>
        <w:t xml:space="preserve">. Bashkë-financimi nga </w:t>
      </w:r>
      <w:bookmarkEnd w:id="11"/>
      <w:r w:rsidR="00CB7B89" w:rsidRPr="00EF1E7B">
        <w:rPr>
          <w:u w:val="single"/>
          <w:lang w:val="sq-AL"/>
        </w:rPr>
        <w:t>aplikuesit</w:t>
      </w:r>
    </w:p>
    <w:p w14:paraId="203BB000" w14:textId="3A0D452A" w:rsidR="00CB7B89" w:rsidRPr="00EF1E7B" w:rsidRDefault="00CB7B89" w:rsidP="00EF1E7B">
      <w:pPr>
        <w:rPr>
          <w:lang w:val="sq-AL"/>
        </w:rPr>
      </w:pPr>
      <w:r w:rsidRPr="00EF1E7B">
        <w:rPr>
          <w:lang w:val="sq-AL"/>
        </w:rPr>
        <w:t xml:space="preserve">Në raste kur shuma e vërtetuar përfundimtare e marrëveshjes i tejkalon kufizimet e përcaktuara në pikën 1.4. lartë, nga aplikanti(ose aplikuesit) do të kërkohet të sigurojë bashkëfinancim deri në pjesën përfundimtare nga burime të veta ose të tjera. </w:t>
      </w:r>
    </w:p>
    <w:p w14:paraId="2CDBA44D" w14:textId="77777777" w:rsidR="00CB7B89" w:rsidRPr="00EF1E7B" w:rsidRDefault="00CB7B89" w:rsidP="00EF1E7B">
      <w:pPr>
        <w:rPr>
          <w:lang w:val="sq-AL"/>
        </w:rPr>
      </w:pPr>
      <w:r w:rsidRPr="00EF1E7B">
        <w:rPr>
          <w:lang w:val="sq-AL"/>
        </w:rPr>
        <w:t>UNDP-ja do të udhëheqë me prokurimin e shërbimeve dhe do të jetë përgjegjëse për zbatimin e marrëveshjeve me palët e treta, shembull pagesa e kryerësve të shërbimeve. Për këto shkaqe, nga aplikantët do të kërkohet që të nënshkruajnë marrëveshje të ndarjes së harxhimeve dhe t’i transferojnë mjetet e nevojshme të UNDP-së sipas procedurave standarde të UNDP-së dhe sipas planit të përcaktuar me marrëveshje.</w:t>
      </w:r>
    </w:p>
    <w:p w14:paraId="1654EDF5" w14:textId="77777777" w:rsidR="00233D05" w:rsidRPr="00EF1E7B" w:rsidRDefault="00233D05" w:rsidP="001B6741">
      <w:pPr>
        <w:rPr>
          <w:u w:val="single"/>
          <w:lang w:val="sq-AL"/>
        </w:rPr>
      </w:pPr>
    </w:p>
    <w:p w14:paraId="53397FA8" w14:textId="58EDDC96" w:rsidR="001B6741" w:rsidRPr="00EF1E7B" w:rsidRDefault="001B6741" w:rsidP="00EF1E7B">
      <w:pPr>
        <w:rPr>
          <w:u w:val="single"/>
          <w:lang w:val="sq-AL"/>
        </w:rPr>
      </w:pPr>
      <w:bookmarkStart w:id="12" w:name="_Toc20757678"/>
      <w:r w:rsidRPr="00EF1E7B">
        <w:rPr>
          <w:u w:val="single"/>
          <w:lang w:val="sq-AL"/>
        </w:rPr>
        <w:t>2.1.</w:t>
      </w:r>
      <w:r w:rsidR="00121CAA" w:rsidRPr="00EF1E7B">
        <w:rPr>
          <w:u w:val="single"/>
          <w:lang w:val="sq-AL"/>
        </w:rPr>
        <w:t>7</w:t>
      </w:r>
      <w:r w:rsidR="00CB7B89" w:rsidRPr="00EF1E7B">
        <w:rPr>
          <w:u w:val="single"/>
          <w:lang w:val="sq-AL"/>
        </w:rPr>
        <w:t>. Parakushtet tjera</w:t>
      </w:r>
      <w:bookmarkEnd w:id="12"/>
    </w:p>
    <w:p w14:paraId="69E09821" w14:textId="77777777" w:rsidR="00CB7B89" w:rsidRPr="00EF1E7B" w:rsidRDefault="00CB7B89" w:rsidP="00EF1E7B">
      <w:pPr>
        <w:rPr>
          <w:lang w:val="sq-AL"/>
        </w:rPr>
      </w:pPr>
      <w:r w:rsidRPr="00EF1E7B">
        <w:rPr>
          <w:lang w:val="sq-AL"/>
        </w:rPr>
        <w:t>Që të sigurohen të dhëna të sakta për vlerësimin e aplikimeve, komunat që ende nuk i kanë dorëzuar të gjitha të dhënat e kërkuara për përllogaritjen e Indeksit të Zhvillimit Komunal do të duhet që ta bëjnë këtë së bashku me pjesën e mbetur të dokumenteve të aplikimit.</w:t>
      </w:r>
    </w:p>
    <w:p w14:paraId="5FE33DF3" w14:textId="4921FD01" w:rsidR="00CE3AD9" w:rsidRPr="00EF1E7B" w:rsidRDefault="00CE3AD9" w:rsidP="00C453E4">
      <w:pPr>
        <w:rPr>
          <w:lang w:val="sq-AL"/>
        </w:rPr>
      </w:pPr>
    </w:p>
    <w:p w14:paraId="37F3EFDF" w14:textId="77777777" w:rsidR="00EF1E7B" w:rsidRPr="00EF1E7B" w:rsidRDefault="00EF1E7B" w:rsidP="00C453E4">
      <w:pPr>
        <w:rPr>
          <w:lang w:val="sq-AL"/>
        </w:rPr>
      </w:pPr>
    </w:p>
    <w:p w14:paraId="4ECF9C09" w14:textId="77777777" w:rsidR="00CB7B89" w:rsidRPr="00EF1E7B" w:rsidRDefault="00CB7B89" w:rsidP="00EF1E7B">
      <w:pPr>
        <w:rPr>
          <w:b/>
          <w:lang w:val="sq-AL"/>
        </w:rPr>
      </w:pPr>
      <w:bookmarkStart w:id="13" w:name="_Toc20757679"/>
      <w:r w:rsidRPr="00EF1E7B">
        <w:rPr>
          <w:b/>
          <w:lang w:val="sq-AL"/>
        </w:rPr>
        <w:t>2.2. Procedura dhe përmbajtja e aplikimit</w:t>
      </w:r>
      <w:bookmarkEnd w:id="13"/>
      <w:r w:rsidRPr="00EF1E7B">
        <w:rPr>
          <w:b/>
          <w:lang w:val="sq-AL"/>
        </w:rPr>
        <w:t xml:space="preserve"> </w:t>
      </w:r>
    </w:p>
    <w:p w14:paraId="0DA1F331" w14:textId="77777777" w:rsidR="00CB7B89" w:rsidRPr="00EF1E7B" w:rsidRDefault="00CB7B89" w:rsidP="00CB7B89">
      <w:pPr>
        <w:rPr>
          <w:u w:val="single"/>
          <w:lang w:val="sq-AL"/>
        </w:rPr>
      </w:pPr>
    </w:p>
    <w:p w14:paraId="18FB6430" w14:textId="77777777" w:rsidR="00CB7B89" w:rsidRPr="00EF1E7B" w:rsidRDefault="00CB7B89" w:rsidP="00EF1E7B">
      <w:pPr>
        <w:rPr>
          <w:u w:val="single"/>
          <w:lang w:val="sq-AL"/>
        </w:rPr>
      </w:pPr>
      <w:bookmarkStart w:id="14" w:name="_Toc20757680"/>
      <w:r w:rsidRPr="00EF1E7B">
        <w:rPr>
          <w:u w:val="single"/>
          <w:lang w:val="sq-AL"/>
        </w:rPr>
        <w:t>2.2.1. Përmbajtja e aplikimit</w:t>
      </w:r>
      <w:bookmarkEnd w:id="14"/>
    </w:p>
    <w:p w14:paraId="389C6D7D" w14:textId="77777777" w:rsidR="00CB7B89" w:rsidRPr="00EF1E7B" w:rsidRDefault="00CB7B89" w:rsidP="00EF1E7B">
      <w:pPr>
        <w:rPr>
          <w:lang w:val="sq-AL"/>
        </w:rPr>
      </w:pPr>
      <w:r w:rsidRPr="00EF1E7B">
        <w:rPr>
          <w:lang w:val="sq-AL"/>
        </w:rPr>
        <w:t xml:space="preserve">“Pakoja” e patjetërsueshme e dorëzimit të aplikimit përbëhet nga: </w:t>
      </w:r>
    </w:p>
    <w:p w14:paraId="64212F72" w14:textId="77777777" w:rsidR="00CB7B89" w:rsidRPr="00EF1E7B" w:rsidRDefault="00CB7B89" w:rsidP="00EF1E7B">
      <w:pPr>
        <w:numPr>
          <w:ilvl w:val="0"/>
          <w:numId w:val="14"/>
        </w:numPr>
        <w:rPr>
          <w:lang w:val="sq-AL"/>
        </w:rPr>
      </w:pPr>
      <w:r w:rsidRPr="00EF1E7B">
        <w:rPr>
          <w:lang w:val="sq-AL"/>
        </w:rPr>
        <w:t>Formulari i dorëzimit të aplikimit (me nënshkrim dhe vulë)</w:t>
      </w:r>
    </w:p>
    <w:p w14:paraId="68261CDA" w14:textId="77777777" w:rsidR="00CB7B89" w:rsidRPr="00EF1E7B" w:rsidRDefault="00CB7B89" w:rsidP="00EF1E7B">
      <w:pPr>
        <w:numPr>
          <w:ilvl w:val="0"/>
          <w:numId w:val="14"/>
        </w:numPr>
        <w:rPr>
          <w:lang w:val="sq-AL"/>
        </w:rPr>
      </w:pPr>
      <w:r w:rsidRPr="00EF1E7B">
        <w:rPr>
          <w:lang w:val="sq-AL"/>
        </w:rPr>
        <w:lastRenderedPageBreak/>
        <w:t>Dokumentet shoqëruese: studime, raporte, vendime – vetëm nëse te ato ka udhëzim në Formularin e dorëzimit të aplikimit</w:t>
      </w:r>
    </w:p>
    <w:p w14:paraId="192DBB61" w14:textId="77777777" w:rsidR="00CB7B89" w:rsidRPr="00EF1E7B" w:rsidRDefault="00CB7B89" w:rsidP="00CB7B89">
      <w:pPr>
        <w:rPr>
          <w:u w:val="single"/>
          <w:lang w:val="sq-AL"/>
        </w:rPr>
      </w:pPr>
    </w:p>
    <w:p w14:paraId="0A7A2619" w14:textId="77777777" w:rsidR="00CB7B89" w:rsidRPr="00EF1E7B" w:rsidRDefault="00CB7B89" w:rsidP="00EF1E7B">
      <w:pPr>
        <w:rPr>
          <w:lang w:val="sq-AL"/>
        </w:rPr>
      </w:pPr>
      <w:r w:rsidRPr="00EF1E7B">
        <w:rPr>
          <w:lang w:val="sq-AL"/>
        </w:rPr>
        <w:t xml:space="preserve">Forumlari i dorëzimit të aplikimit në asnjë mënyrë nuk mundet të ndryshohet, përveç me shtim (kopjim) të tabelave plotësuese për “Të dhënat themelore të aplikantit”, në raste të aplikimeve në partneritet. </w:t>
      </w:r>
    </w:p>
    <w:p w14:paraId="0B1446DB" w14:textId="77777777" w:rsidR="00CB7B89" w:rsidRPr="00EF1E7B" w:rsidRDefault="00CB7B89" w:rsidP="00CB7B89">
      <w:pPr>
        <w:rPr>
          <w:lang w:val="sq-AL"/>
        </w:rPr>
      </w:pPr>
    </w:p>
    <w:p w14:paraId="23EEF4C2" w14:textId="77777777" w:rsidR="00CB7B89" w:rsidRPr="00EF1E7B" w:rsidRDefault="00CB7B89" w:rsidP="00EF1E7B">
      <w:pPr>
        <w:rPr>
          <w:u w:val="single"/>
          <w:lang w:val="sq-AL"/>
        </w:rPr>
      </w:pPr>
      <w:bookmarkStart w:id="15" w:name="_Toc20757681"/>
      <w:r w:rsidRPr="00EF1E7B">
        <w:rPr>
          <w:u w:val="single"/>
          <w:lang w:val="sq-AL"/>
        </w:rPr>
        <w:t>2.2.2. Ku dhe si të dorëzohet aplikimi?</w:t>
      </w:r>
      <w:bookmarkEnd w:id="15"/>
    </w:p>
    <w:p w14:paraId="7B6842A6" w14:textId="79CC8852" w:rsidR="004D0AE8" w:rsidRPr="00EF1E7B" w:rsidRDefault="004D0AE8" w:rsidP="00EF1E7B">
      <w:pPr>
        <w:rPr>
          <w:lang w:val="sq-AL"/>
        </w:rPr>
      </w:pPr>
      <w:r w:rsidRPr="00EF1E7B">
        <w:rPr>
          <w:lang w:val="sq-AL"/>
        </w:rPr>
        <w:t xml:space="preserve">Formulari i aplikimit në format elektronik duhet të dorëzohet me postë elektronike në adresën </w:t>
      </w:r>
      <w:r w:rsidRPr="00EF1E7B">
        <w:rPr>
          <w:color w:val="1F497D" w:themeColor="text2"/>
          <w:u w:val="single"/>
          <w:lang w:val="sq-AL"/>
        </w:rPr>
        <w:t xml:space="preserve">info@lokalenrazvoj.mk </w:t>
      </w:r>
      <w:r w:rsidRPr="00EF1E7B">
        <w:rPr>
          <w:lang w:val="sq-AL"/>
        </w:rPr>
        <w:t>me temë me email KOMUNA E [emri i komunës] ose QENDRA RAJONALE (EMRI) - Aplikimi në fondin teknik të DOKUMENTACIONIT; - Thirrja e 2-të;</w:t>
      </w:r>
    </w:p>
    <w:p w14:paraId="3CB3A7DF" w14:textId="77777777" w:rsidR="004F733A" w:rsidRPr="00EF1E7B" w:rsidRDefault="004F733A" w:rsidP="0044635D">
      <w:pPr>
        <w:rPr>
          <w:lang w:val="sq-AL"/>
        </w:rPr>
      </w:pPr>
    </w:p>
    <w:p w14:paraId="35FA896A" w14:textId="4FEEFB28" w:rsidR="0044635D" w:rsidRPr="00EF1E7B" w:rsidRDefault="004D0AE8" w:rsidP="00EF1E7B">
      <w:pPr>
        <w:rPr>
          <w:u w:val="single"/>
          <w:lang w:val="sq-AL"/>
        </w:rPr>
      </w:pPr>
      <w:bookmarkStart w:id="16" w:name="_Toc20757682"/>
      <w:r w:rsidRPr="00EF1E7B">
        <w:rPr>
          <w:u w:val="single"/>
          <w:lang w:val="sq-AL"/>
        </w:rPr>
        <w:t xml:space="preserve">2.2.3. Afati i </w:t>
      </w:r>
      <w:bookmarkEnd w:id="16"/>
      <w:r w:rsidRPr="00EF1E7B">
        <w:rPr>
          <w:u w:val="single"/>
          <w:lang w:val="sq-AL"/>
        </w:rPr>
        <w:t>fundit për aplikim</w:t>
      </w:r>
    </w:p>
    <w:p w14:paraId="47C8CAF4" w14:textId="6C505890" w:rsidR="004F733A" w:rsidRPr="00EF1E7B" w:rsidRDefault="00937ADB" w:rsidP="00377192">
      <w:pPr>
        <w:pStyle w:val="ListParagraph"/>
        <w:numPr>
          <w:ilvl w:val="0"/>
          <w:numId w:val="15"/>
        </w:numPr>
        <w:rPr>
          <w:b/>
          <w:color w:val="FF0000"/>
          <w:lang w:val="sq-AL"/>
        </w:rPr>
      </w:pPr>
      <w:r>
        <w:rPr>
          <w:b/>
          <w:color w:val="FF0000"/>
          <w:lang w:val="sq-AL"/>
        </w:rPr>
        <w:t xml:space="preserve">31 korrik </w:t>
      </w:r>
      <w:r w:rsidR="004D0AE8" w:rsidRPr="00EF1E7B">
        <w:rPr>
          <w:b/>
          <w:color w:val="FF0000"/>
          <w:lang w:val="sq-AL"/>
        </w:rPr>
        <w:t>2020</w:t>
      </w:r>
      <w:r w:rsidR="00A405A9">
        <w:rPr>
          <w:b/>
          <w:color w:val="FF0000"/>
          <w:lang w:val="sq-AL"/>
        </w:rPr>
        <w:t xml:space="preserve"> deri n</w:t>
      </w:r>
      <w:r>
        <w:rPr>
          <w:b/>
          <w:color w:val="FF0000"/>
          <w:lang w:val="sq-AL"/>
        </w:rPr>
        <w:t>ë ora 22</w:t>
      </w:r>
    </w:p>
    <w:p w14:paraId="7D1EC9C7" w14:textId="77777777" w:rsidR="004F733A" w:rsidRPr="00EF1E7B" w:rsidRDefault="004F733A" w:rsidP="0044635D">
      <w:pPr>
        <w:rPr>
          <w:u w:val="single"/>
          <w:lang w:val="sq-AL"/>
        </w:rPr>
      </w:pPr>
    </w:p>
    <w:p w14:paraId="212FE103" w14:textId="4F5741D7" w:rsidR="00392EE2" w:rsidRPr="00EF1E7B" w:rsidRDefault="004D0AE8" w:rsidP="00EF1E7B">
      <w:pPr>
        <w:rPr>
          <w:u w:val="single"/>
          <w:lang w:val="sq-AL"/>
        </w:rPr>
      </w:pPr>
      <w:bookmarkStart w:id="17" w:name="_Toc20757683"/>
      <w:r w:rsidRPr="00EF1E7B">
        <w:rPr>
          <w:u w:val="single"/>
          <w:lang w:val="sq-AL"/>
        </w:rPr>
        <w:t>2.2.4. Informata plotësues</w:t>
      </w:r>
      <w:bookmarkEnd w:id="17"/>
      <w:r w:rsidRPr="00EF1E7B">
        <w:rPr>
          <w:u w:val="single"/>
          <w:lang w:val="sq-AL"/>
        </w:rPr>
        <w:t>e</w:t>
      </w:r>
    </w:p>
    <w:p w14:paraId="6D8D469C" w14:textId="1BD25C3D" w:rsidR="004F733A" w:rsidRPr="00EF1E7B" w:rsidRDefault="004D0AE8" w:rsidP="00EF1E7B">
      <w:pPr>
        <w:jc w:val="both"/>
        <w:rPr>
          <w:lang w:val="sq-AL"/>
        </w:rPr>
      </w:pPr>
      <w:r w:rsidRPr="00EF1E7B">
        <w:rPr>
          <w:lang w:val="sq-AL"/>
        </w:rPr>
        <w:t>Përderisa Thirrja për dorëzimin e aplikimve është në zhvillim e sipër, aplikantët potencialë do të kenë mundësi të parashtrojnë pyetje dhe të kërkojnë sqarime në lidhje me Thirrjen. Pyetjet duhet të drejtohen nëpërmjet postës elektronike në adresën</w:t>
      </w:r>
      <w:r w:rsidR="00794D76" w:rsidRPr="00EF1E7B">
        <w:rPr>
          <w:lang w:val="sq-AL"/>
        </w:rPr>
        <w:t>:</w:t>
      </w:r>
      <w:r w:rsidR="00202411" w:rsidRPr="00EF1E7B">
        <w:rPr>
          <w:lang w:val="sq-AL"/>
        </w:rPr>
        <w:t xml:space="preserve"> </w:t>
      </w:r>
      <w:r w:rsidR="00AD5B87" w:rsidRPr="00EF1E7B">
        <w:rPr>
          <w:lang w:val="sq-AL"/>
        </w:rPr>
        <w:t>info@lokalenrazvoj.mk</w:t>
      </w:r>
    </w:p>
    <w:p w14:paraId="795B2479" w14:textId="77777777" w:rsidR="004C4ABB" w:rsidRPr="00EF1E7B" w:rsidRDefault="004C4ABB" w:rsidP="00EF1E7B">
      <w:pPr>
        <w:jc w:val="both"/>
        <w:rPr>
          <w:lang w:val="sq-AL"/>
        </w:rPr>
      </w:pPr>
    </w:p>
    <w:p w14:paraId="553BCA87" w14:textId="77777777" w:rsidR="004D0AE8" w:rsidRPr="00EF1E7B" w:rsidRDefault="004D0AE8" w:rsidP="00EF1E7B">
      <w:pPr>
        <w:jc w:val="both"/>
        <w:rPr>
          <w:rFonts w:cstheme="minorHAnsi"/>
          <w:lang w:val="sq-AL"/>
        </w:rPr>
      </w:pPr>
      <w:r w:rsidRPr="00EF1E7B">
        <w:rPr>
          <w:rFonts w:cstheme="minorHAnsi"/>
          <w:lang w:val="sq-AL"/>
        </w:rPr>
        <w:t>Përgjigjet e pyetjeve do të publikohen rregullisht në uebfaqen e projektit një herë në javë gjatë rrjedhës së Thirrjes, në atë mënyrë që edhe pyetjet edhe përgjigjet do të jenë transparente për të gjithë aplikantët potencialë. Pyetjet do të mund të parashtrohen deri në pesë ditë para përfundimit të Thirrjes.</w:t>
      </w:r>
    </w:p>
    <w:p w14:paraId="71D5784E" w14:textId="77777777" w:rsidR="004D0AE8" w:rsidRPr="00EF1E7B" w:rsidRDefault="004D0AE8" w:rsidP="00EF1E7B">
      <w:pPr>
        <w:jc w:val="both"/>
        <w:rPr>
          <w:rFonts w:cstheme="minorHAnsi"/>
          <w:lang w:val="sq-AL"/>
        </w:rPr>
      </w:pPr>
    </w:p>
    <w:p w14:paraId="3645C6A4" w14:textId="4BECF53E" w:rsidR="004F3752" w:rsidRDefault="004F3752" w:rsidP="00EF1E7B">
      <w:pPr>
        <w:jc w:val="both"/>
        <w:rPr>
          <w:rFonts w:cstheme="minorHAnsi"/>
          <w:lang w:val="sq-AL"/>
        </w:rPr>
      </w:pPr>
      <w:r w:rsidRPr="004F3752">
        <w:rPr>
          <w:rFonts w:cstheme="minorHAnsi"/>
          <w:lang w:val="sq-AL"/>
        </w:rPr>
        <w:t>Duke pasur parasysh zgjedhjet e parakohshme parlamentare të planifikuara për 15 korrik 2020. dhe vështirësitë që ata do të shkaktojnë në punën e rregullt të komunave, vendimet e këshillave të bashkive / rajoneve mund të paraqiten shtesë, por jo më vonë se 17 gusht 2020.</w:t>
      </w:r>
      <w:r w:rsidRPr="004F3752">
        <w:rPr>
          <w:rFonts w:cstheme="minorHAnsi"/>
          <w:lang w:val="sq-AL"/>
        </w:rPr>
        <w:br/>
      </w:r>
      <w:r w:rsidRPr="004F3752">
        <w:rPr>
          <w:rFonts w:cstheme="minorHAnsi"/>
          <w:lang w:val="sq-AL"/>
        </w:rPr>
        <w:br/>
      </w:r>
      <w:r w:rsidR="001243C0">
        <w:rPr>
          <w:rFonts w:cstheme="minorHAnsi"/>
          <w:lang w:val="sq-AL"/>
        </w:rPr>
        <w:t>Pyetje me ardhje personalisht</w:t>
      </w:r>
      <w:r w:rsidRPr="004F3752">
        <w:rPr>
          <w:rFonts w:cstheme="minorHAnsi"/>
          <w:lang w:val="sq-AL"/>
        </w:rPr>
        <w:t xml:space="preserve"> dhe me telefon nuk lejohet.</w:t>
      </w:r>
    </w:p>
    <w:p w14:paraId="272BF1BD" w14:textId="17B92ED1" w:rsidR="004D0AE8" w:rsidRPr="00EF1E7B" w:rsidRDefault="004D0AE8" w:rsidP="00EF1E7B">
      <w:pPr>
        <w:jc w:val="both"/>
        <w:rPr>
          <w:rFonts w:cstheme="minorHAnsi"/>
          <w:lang w:val="sq-AL"/>
        </w:rPr>
      </w:pPr>
      <w:r w:rsidRPr="00EF1E7B">
        <w:rPr>
          <w:rFonts w:cstheme="minorHAnsi"/>
          <w:lang w:val="sq-AL"/>
        </w:rPr>
        <w:t>UNDP-ja e ka të drejtën e ndryshimit të elemteve të Thirrjes, mes tjerash edhe pas parashtrimit të pyetjeve nga aplikantët potencialë. Nëse natyra e ndryshimeve është e tillë që kërkon përpjeje plotësuese nga aplikantët ose ndryshimet bëhen para vetë datës kur përmbyllet thirrja, UNDP-ja mund të lejojë zgjatjen e periudhës së aplikimit në thirrje.</w:t>
      </w:r>
    </w:p>
    <w:p w14:paraId="5BE5B11B" w14:textId="6B8B1AA5" w:rsidR="004D0AE8" w:rsidRPr="00EF1E7B" w:rsidRDefault="004D0AE8" w:rsidP="00EF1E7B">
      <w:pPr>
        <w:jc w:val="both"/>
        <w:rPr>
          <w:rFonts w:cstheme="minorHAnsi"/>
          <w:lang w:val="sq-AL"/>
        </w:rPr>
      </w:pPr>
    </w:p>
    <w:p w14:paraId="528A09E7" w14:textId="77777777" w:rsidR="00EF1E7B" w:rsidRPr="00EF1E7B" w:rsidRDefault="00EF1E7B" w:rsidP="00EF1E7B">
      <w:pPr>
        <w:jc w:val="both"/>
        <w:rPr>
          <w:rFonts w:cstheme="minorHAnsi"/>
          <w:lang w:val="sq-AL"/>
        </w:rPr>
      </w:pPr>
    </w:p>
    <w:p w14:paraId="15C843A9" w14:textId="77777777" w:rsidR="004D0AE8" w:rsidRPr="00EF1E7B" w:rsidRDefault="004D0AE8" w:rsidP="00EF1E7B">
      <w:pPr>
        <w:jc w:val="both"/>
        <w:rPr>
          <w:b/>
          <w:lang w:val="sq-AL"/>
        </w:rPr>
      </w:pPr>
      <w:bookmarkStart w:id="18" w:name="_Toc20757684"/>
      <w:r w:rsidRPr="00EF1E7B">
        <w:rPr>
          <w:b/>
          <w:lang w:val="sq-AL"/>
        </w:rPr>
        <w:t>2.3. Vlerësimi dhe përzgjedhja e aplikimeve</w:t>
      </w:r>
      <w:bookmarkEnd w:id="18"/>
    </w:p>
    <w:p w14:paraId="3ED85E9F" w14:textId="77777777" w:rsidR="004D0AE8" w:rsidRPr="00EF1E7B" w:rsidRDefault="004D0AE8" w:rsidP="00EF1E7B">
      <w:pPr>
        <w:jc w:val="both"/>
        <w:rPr>
          <w:rFonts w:cstheme="minorHAnsi"/>
          <w:b/>
          <w:lang w:val="sq-AL"/>
        </w:rPr>
      </w:pPr>
    </w:p>
    <w:p w14:paraId="0DB2C465" w14:textId="77777777" w:rsidR="004D0AE8" w:rsidRPr="00EF1E7B" w:rsidRDefault="004D0AE8" w:rsidP="00EF1E7B">
      <w:pPr>
        <w:jc w:val="both"/>
        <w:rPr>
          <w:rFonts w:cstheme="minorHAnsi"/>
          <w:lang w:val="sq-AL"/>
        </w:rPr>
      </w:pPr>
      <w:r w:rsidRPr="00EF1E7B">
        <w:rPr>
          <w:rFonts w:cstheme="minorHAnsi"/>
          <w:lang w:val="sq-AL"/>
        </w:rPr>
        <w:t xml:space="preserve">Pas përmbylljes së Thirrjes për propozime, vlerësimi i aplikimeve do të realizohet për të përgatitur rang listën e propozimeve dhe të përcaktohet se kujt do t’i ndahen mjete sipas kësaj Thirrjeje. Vlerësimi do të realizohet nga Komiteti i vlerësimit me ndihmën e një inxhinjeri të ndërtimtarisë të emëruar nga UNDP-ja. </w:t>
      </w:r>
      <w:r w:rsidRPr="00EF1E7B">
        <w:rPr>
          <w:rFonts w:cstheme="minorHAnsi"/>
          <w:b/>
          <w:lang w:val="sq-AL"/>
        </w:rPr>
        <w:t>Që një projekt të kualifikohet për të fituar mjete financiare, gjatë vlerësimit patjetër të fitojë 55 pikë.</w:t>
      </w:r>
    </w:p>
    <w:p w14:paraId="27E6D842" w14:textId="77777777" w:rsidR="004D0AE8" w:rsidRPr="00EF1E7B" w:rsidRDefault="004D0AE8" w:rsidP="00EF1E7B">
      <w:pPr>
        <w:jc w:val="both"/>
        <w:rPr>
          <w:lang w:val="sq-AL"/>
        </w:rPr>
      </w:pPr>
    </w:p>
    <w:p w14:paraId="1802EDA6" w14:textId="282C3530" w:rsidR="0075542B" w:rsidRPr="00EF1E7B" w:rsidRDefault="004D0AE8" w:rsidP="00EF1E7B">
      <w:pPr>
        <w:jc w:val="both"/>
        <w:rPr>
          <w:lang w:val="sq-AL"/>
        </w:rPr>
      </w:pPr>
      <w:r w:rsidRPr="00EF1E7B">
        <w:rPr>
          <w:lang w:val="sq-AL"/>
        </w:rPr>
        <w:t>Vlerësimi do të realizohet në pajtim me kriteret e përcaktuara më herët dhe skemave të vlerësimit</w:t>
      </w:r>
      <w:r w:rsidR="0075542B" w:rsidRPr="00EF1E7B">
        <w:rPr>
          <w:lang w:val="sq-AL"/>
        </w:rPr>
        <w:t>:</w:t>
      </w:r>
    </w:p>
    <w:p w14:paraId="4363C668" w14:textId="77777777" w:rsidR="0040777C" w:rsidRPr="00EF1E7B" w:rsidRDefault="0040777C" w:rsidP="0044635D">
      <w:pPr>
        <w:rPr>
          <w:lang w:val="sq-AL"/>
        </w:rPr>
      </w:pPr>
    </w:p>
    <w:p w14:paraId="65BF5A19" w14:textId="1F5316E5" w:rsidR="0075542B" w:rsidRPr="00EF1E7B" w:rsidRDefault="004D0AE8" w:rsidP="00EF1E7B">
      <w:pPr>
        <w:pStyle w:val="ListParagraph"/>
        <w:numPr>
          <w:ilvl w:val="0"/>
          <w:numId w:val="16"/>
        </w:numPr>
        <w:ind w:left="284" w:hanging="284"/>
        <w:rPr>
          <w:lang w:val="sq-AL"/>
        </w:rPr>
      </w:pPr>
      <w:r w:rsidRPr="00EF1E7B">
        <w:rPr>
          <w:lang w:val="sq-AL"/>
        </w:rPr>
        <w:t>KRITERET ADMINISTRATIVE DHE KUALIFIKIMI E APLIKANTËVE / PROJEKTEVE / AKTIVITETEVE</w:t>
      </w:r>
    </w:p>
    <w:tbl>
      <w:tblPr>
        <w:tblStyle w:val="TableGrid"/>
        <w:tblW w:w="0" w:type="auto"/>
        <w:tblLook w:val="04A0" w:firstRow="1" w:lastRow="0" w:firstColumn="1" w:lastColumn="0" w:noHBand="0" w:noVBand="1"/>
      </w:tblPr>
      <w:tblGrid>
        <w:gridCol w:w="5949"/>
        <w:gridCol w:w="2097"/>
      </w:tblGrid>
      <w:tr w:rsidR="0075542B" w:rsidRPr="00EF1E7B" w14:paraId="57188E53" w14:textId="77777777" w:rsidTr="00EF1E7B">
        <w:tc>
          <w:tcPr>
            <w:tcW w:w="5949" w:type="dxa"/>
          </w:tcPr>
          <w:p w14:paraId="78F05482" w14:textId="7029426F" w:rsidR="0075542B" w:rsidRPr="00EF1E7B" w:rsidRDefault="004D0AE8" w:rsidP="00EF1E7B">
            <w:pPr>
              <w:spacing w:line="276" w:lineRule="auto"/>
              <w:rPr>
                <w:lang w:val="sq-AL"/>
              </w:rPr>
            </w:pPr>
            <w:r w:rsidRPr="00EF1E7B">
              <w:rPr>
                <w:lang w:val="sq-AL"/>
              </w:rPr>
              <w:t>KRITERI</w:t>
            </w:r>
          </w:p>
        </w:tc>
        <w:tc>
          <w:tcPr>
            <w:tcW w:w="2097" w:type="dxa"/>
          </w:tcPr>
          <w:p w14:paraId="36E700DA" w14:textId="79E697F4" w:rsidR="0075542B" w:rsidRPr="00EF1E7B" w:rsidRDefault="004D0AE8" w:rsidP="00EF1E7B">
            <w:pPr>
              <w:spacing w:line="276" w:lineRule="auto"/>
              <w:jc w:val="center"/>
              <w:rPr>
                <w:lang w:val="sq-AL"/>
              </w:rPr>
            </w:pPr>
            <w:r w:rsidRPr="00EF1E7B">
              <w:rPr>
                <w:lang w:val="sq-AL"/>
              </w:rPr>
              <w:t>shënoni/ vlerësoni</w:t>
            </w:r>
          </w:p>
        </w:tc>
      </w:tr>
      <w:tr w:rsidR="0075542B" w:rsidRPr="00EF1E7B" w14:paraId="5CF8B5EB" w14:textId="77777777" w:rsidTr="00EF1E7B">
        <w:tc>
          <w:tcPr>
            <w:tcW w:w="5949" w:type="dxa"/>
            <w:shd w:val="clear" w:color="auto" w:fill="D9D9D9" w:themeFill="background1" w:themeFillShade="D9"/>
          </w:tcPr>
          <w:p w14:paraId="6418EBE7" w14:textId="2283AEA2" w:rsidR="0075542B" w:rsidRPr="00EF1E7B" w:rsidRDefault="00CF1122" w:rsidP="00EF1E7B">
            <w:pPr>
              <w:pStyle w:val="Header"/>
              <w:tabs>
                <w:tab w:val="clear" w:pos="4536"/>
                <w:tab w:val="clear" w:pos="9072"/>
              </w:tabs>
              <w:spacing w:line="276" w:lineRule="auto"/>
              <w:rPr>
                <w:lang w:val="sq-AL"/>
              </w:rPr>
            </w:pPr>
            <w:r w:rsidRPr="00EF1E7B">
              <w:rPr>
                <w:lang w:val="sq-AL"/>
              </w:rPr>
              <w:t>A kualifikohet aplikanti sipas rregullave të Thirrjes për propozime? (pjesa 2.1.1)</w:t>
            </w:r>
          </w:p>
        </w:tc>
        <w:tc>
          <w:tcPr>
            <w:tcW w:w="2097" w:type="dxa"/>
            <w:shd w:val="clear" w:color="auto" w:fill="D9D9D9" w:themeFill="background1" w:themeFillShade="D9"/>
          </w:tcPr>
          <w:p w14:paraId="2B1EF062" w14:textId="2000D8C6" w:rsidR="0075542B" w:rsidRPr="00EF1E7B" w:rsidRDefault="00CF1122" w:rsidP="00EF1E7B">
            <w:pPr>
              <w:spacing w:line="276" w:lineRule="auto"/>
              <w:jc w:val="center"/>
              <w:rPr>
                <w:lang w:val="sq-AL"/>
              </w:rPr>
            </w:pPr>
            <w:r w:rsidRPr="00EF1E7B">
              <w:rPr>
                <w:lang w:val="sq-AL"/>
              </w:rPr>
              <w:t>PO / J</w:t>
            </w:r>
            <w:r w:rsidR="0075542B" w:rsidRPr="00EF1E7B">
              <w:rPr>
                <w:lang w:val="sq-AL"/>
              </w:rPr>
              <w:t>O</w:t>
            </w:r>
          </w:p>
        </w:tc>
      </w:tr>
      <w:tr w:rsidR="0075542B" w:rsidRPr="00EF1E7B" w14:paraId="01096948" w14:textId="77777777" w:rsidTr="00EF1E7B">
        <w:tc>
          <w:tcPr>
            <w:tcW w:w="5949" w:type="dxa"/>
          </w:tcPr>
          <w:p w14:paraId="4C67DBCD" w14:textId="1ED95776" w:rsidR="0075542B" w:rsidRPr="00EF1E7B" w:rsidRDefault="000007DC" w:rsidP="00EF1E7B">
            <w:pPr>
              <w:spacing w:line="276" w:lineRule="auto"/>
              <w:rPr>
                <w:lang w:val="sq-AL"/>
              </w:rPr>
            </w:pPr>
            <w:r w:rsidRPr="00EF1E7B">
              <w:rPr>
                <w:lang w:val="sq-AL"/>
              </w:rPr>
              <w:t>A përfshihet në listën e projekteve që kualifikohen për financim projekti i propozuar për të fituar mjete përgatitjeje? (pjesa 2.1.2)</w:t>
            </w:r>
          </w:p>
        </w:tc>
        <w:tc>
          <w:tcPr>
            <w:tcW w:w="2097" w:type="dxa"/>
          </w:tcPr>
          <w:p w14:paraId="476822BC" w14:textId="555F8A73" w:rsidR="0075542B" w:rsidRPr="00EF1E7B" w:rsidRDefault="00CF1122" w:rsidP="00EF1E7B">
            <w:pPr>
              <w:spacing w:line="276" w:lineRule="auto"/>
              <w:jc w:val="center"/>
              <w:rPr>
                <w:lang w:val="sq-AL"/>
              </w:rPr>
            </w:pPr>
            <w:r w:rsidRPr="00EF1E7B">
              <w:rPr>
                <w:lang w:val="sq-AL"/>
              </w:rPr>
              <w:t>PO / J</w:t>
            </w:r>
            <w:r w:rsidR="0075542B" w:rsidRPr="00EF1E7B">
              <w:rPr>
                <w:lang w:val="sq-AL"/>
              </w:rPr>
              <w:t>O</w:t>
            </w:r>
          </w:p>
        </w:tc>
      </w:tr>
      <w:tr w:rsidR="0075542B" w:rsidRPr="00EF1E7B" w14:paraId="21AEB87D" w14:textId="77777777" w:rsidTr="00EF1E7B">
        <w:tc>
          <w:tcPr>
            <w:tcW w:w="5949" w:type="dxa"/>
            <w:shd w:val="clear" w:color="auto" w:fill="D9D9D9" w:themeFill="background1" w:themeFillShade="D9"/>
          </w:tcPr>
          <w:p w14:paraId="6118A09B" w14:textId="7013A8CD" w:rsidR="0075542B" w:rsidRPr="00EF1E7B" w:rsidRDefault="000007DC" w:rsidP="00EF1E7B">
            <w:pPr>
              <w:spacing w:line="276" w:lineRule="auto"/>
              <w:rPr>
                <w:lang w:val="sq-AL"/>
              </w:rPr>
            </w:pPr>
            <w:r w:rsidRPr="00EF1E7B">
              <w:rPr>
                <w:lang w:val="sq-AL"/>
              </w:rPr>
              <w:t>A është në listën kualifikuese të dokumenteve projektuese lloji i dokumentit projektues për të cilin kërkohen mjete financiare? (pjesa 2.1.3)</w:t>
            </w:r>
          </w:p>
        </w:tc>
        <w:tc>
          <w:tcPr>
            <w:tcW w:w="2097" w:type="dxa"/>
            <w:shd w:val="clear" w:color="auto" w:fill="D9D9D9" w:themeFill="background1" w:themeFillShade="D9"/>
          </w:tcPr>
          <w:p w14:paraId="08D65605" w14:textId="2BB68BFE" w:rsidR="0075542B" w:rsidRPr="00EF1E7B" w:rsidRDefault="00CF1122" w:rsidP="00EF1E7B">
            <w:pPr>
              <w:spacing w:line="276" w:lineRule="auto"/>
              <w:jc w:val="center"/>
              <w:rPr>
                <w:lang w:val="sq-AL"/>
              </w:rPr>
            </w:pPr>
            <w:r w:rsidRPr="00EF1E7B">
              <w:rPr>
                <w:lang w:val="sq-AL"/>
              </w:rPr>
              <w:t>PO / J</w:t>
            </w:r>
            <w:r w:rsidR="0075542B" w:rsidRPr="00EF1E7B">
              <w:rPr>
                <w:lang w:val="sq-AL"/>
              </w:rPr>
              <w:t>O</w:t>
            </w:r>
          </w:p>
        </w:tc>
      </w:tr>
      <w:tr w:rsidR="00FF4A7F" w:rsidRPr="00EF1E7B" w14:paraId="3307F831" w14:textId="77777777" w:rsidTr="00EF1E7B">
        <w:tc>
          <w:tcPr>
            <w:tcW w:w="5949" w:type="dxa"/>
            <w:shd w:val="clear" w:color="auto" w:fill="D9D9D9" w:themeFill="background1" w:themeFillShade="D9"/>
          </w:tcPr>
          <w:p w14:paraId="75F7AC71" w14:textId="1E6060C2" w:rsidR="00FF4A7F" w:rsidRPr="00EF1E7B" w:rsidRDefault="000007DC" w:rsidP="00FF4A7F">
            <w:pPr>
              <w:rPr>
                <w:lang w:val="sq-AL"/>
              </w:rPr>
            </w:pPr>
            <w:bookmarkStart w:id="19" w:name="_Hlk41996752"/>
            <w:r w:rsidRPr="00EF1E7B">
              <w:rPr>
                <w:lang w:val="sq-AL"/>
              </w:rPr>
              <w:t>A është lejuar/miratuar projekti nga këshilli komunal dhe/ose Këshillit rajonal? A i është bashkangjitur aplikimit vendimi i këshillit?</w:t>
            </w:r>
          </w:p>
        </w:tc>
        <w:tc>
          <w:tcPr>
            <w:tcW w:w="2097" w:type="dxa"/>
            <w:shd w:val="clear" w:color="auto" w:fill="D9D9D9" w:themeFill="background1" w:themeFillShade="D9"/>
          </w:tcPr>
          <w:p w14:paraId="399F658F" w14:textId="29E51228" w:rsidR="00FF4A7F" w:rsidRPr="00EF1E7B" w:rsidRDefault="00CF1122" w:rsidP="00004BBA">
            <w:pPr>
              <w:jc w:val="center"/>
              <w:rPr>
                <w:lang w:val="sq-AL"/>
              </w:rPr>
            </w:pPr>
            <w:r w:rsidRPr="00EF1E7B">
              <w:rPr>
                <w:lang w:val="sq-AL"/>
              </w:rPr>
              <w:t>PO / J</w:t>
            </w:r>
            <w:r w:rsidR="00FF4A7F" w:rsidRPr="00EF1E7B">
              <w:rPr>
                <w:lang w:val="sq-AL"/>
              </w:rPr>
              <w:t>O</w:t>
            </w:r>
          </w:p>
        </w:tc>
      </w:tr>
      <w:tr w:rsidR="003C03D8" w:rsidRPr="00EF1E7B" w14:paraId="2D7EA439" w14:textId="77777777" w:rsidTr="005A7269">
        <w:tc>
          <w:tcPr>
            <w:tcW w:w="5949" w:type="dxa"/>
            <w:shd w:val="clear" w:color="auto" w:fill="D9D9D9" w:themeFill="background1" w:themeFillShade="D9"/>
          </w:tcPr>
          <w:p w14:paraId="21113C55" w14:textId="77777777" w:rsidR="003C03D8" w:rsidRPr="002862A1" w:rsidRDefault="003C03D8" w:rsidP="005A7269">
            <w:pPr>
              <w:rPr>
                <w:lang w:val="sq-AL"/>
              </w:rPr>
            </w:pPr>
            <w:r>
              <w:rPr>
                <w:lang w:val="sq-AL"/>
              </w:rPr>
              <w:t>A janë marrëdhëniet pronësore-juridike në lidhje me pronën/lokacionin të pastra, pa probleme dhe konflikte?A i është bashkangjitur aplikacionit dokumenti i pronësisë?</w:t>
            </w:r>
          </w:p>
        </w:tc>
        <w:tc>
          <w:tcPr>
            <w:tcW w:w="2097" w:type="dxa"/>
            <w:shd w:val="clear" w:color="auto" w:fill="D9D9D9" w:themeFill="background1" w:themeFillShade="D9"/>
          </w:tcPr>
          <w:p w14:paraId="2D443A55" w14:textId="77777777" w:rsidR="003C03D8" w:rsidRPr="00EF1E7B" w:rsidRDefault="003C03D8" w:rsidP="005A7269">
            <w:pPr>
              <w:jc w:val="center"/>
              <w:rPr>
                <w:lang w:val="sq-AL"/>
              </w:rPr>
            </w:pPr>
            <w:r>
              <w:rPr>
                <w:lang w:val="sq-AL"/>
              </w:rPr>
              <w:t>PO/JO</w:t>
            </w:r>
          </w:p>
        </w:tc>
      </w:tr>
      <w:tr w:rsidR="00FF4A7F" w:rsidRPr="00EF1E7B" w14:paraId="5A885D87" w14:textId="77777777" w:rsidTr="00EF1E7B">
        <w:tc>
          <w:tcPr>
            <w:tcW w:w="5949" w:type="dxa"/>
          </w:tcPr>
          <w:p w14:paraId="46E84F81" w14:textId="498A4D1B" w:rsidR="00FF4A7F" w:rsidRPr="00EF1E7B" w:rsidRDefault="00BF2911" w:rsidP="00BF2911">
            <w:pPr>
              <w:rPr>
                <w:lang w:val="sq-AL"/>
              </w:rPr>
            </w:pPr>
            <w:bookmarkStart w:id="20" w:name="_GoBack"/>
            <w:bookmarkEnd w:id="19"/>
            <w:bookmarkEnd w:id="20"/>
            <w:r w:rsidRPr="00BF2911">
              <w:rPr>
                <w:lang w:val="sq-AL"/>
              </w:rPr>
              <w:t>A paraqiti aplikanti të dhënat e kërkuara në dispozicion të nevojshme për llogaritjen e Indeksit? *</w:t>
            </w:r>
          </w:p>
        </w:tc>
        <w:tc>
          <w:tcPr>
            <w:tcW w:w="2097" w:type="dxa"/>
          </w:tcPr>
          <w:p w14:paraId="593ED543" w14:textId="2291FC39" w:rsidR="00FF4A7F" w:rsidRPr="00EF1E7B" w:rsidRDefault="00CF1122" w:rsidP="00EF1E7B">
            <w:pPr>
              <w:spacing w:line="276" w:lineRule="auto"/>
              <w:jc w:val="center"/>
              <w:rPr>
                <w:lang w:val="sq-AL"/>
              </w:rPr>
            </w:pPr>
            <w:r w:rsidRPr="00EF1E7B">
              <w:rPr>
                <w:lang w:val="sq-AL"/>
              </w:rPr>
              <w:t>PO / J</w:t>
            </w:r>
            <w:r w:rsidR="00FF4A7F" w:rsidRPr="00EF1E7B">
              <w:rPr>
                <w:lang w:val="sq-AL"/>
              </w:rPr>
              <w:t>O</w:t>
            </w:r>
          </w:p>
        </w:tc>
      </w:tr>
      <w:tr w:rsidR="00402C11" w:rsidRPr="00EF1E7B" w14:paraId="17D48C73" w14:textId="77777777" w:rsidTr="00EF1E7B">
        <w:tc>
          <w:tcPr>
            <w:tcW w:w="5949" w:type="dxa"/>
          </w:tcPr>
          <w:p w14:paraId="6BB52B7E" w14:textId="095C8CE0" w:rsidR="00402C11" w:rsidRPr="00EF1E7B" w:rsidRDefault="00BF2911" w:rsidP="00402C11">
            <w:pPr>
              <w:rPr>
                <w:lang w:val="sq-AL"/>
              </w:rPr>
            </w:pPr>
            <w:r w:rsidRPr="00BF2911">
              <w:rPr>
                <w:lang w:val="sq-AL"/>
              </w:rPr>
              <w:t>A i përmbush projekti kriteret për një projekt rajonal në përputhje me udhëzimet për zhvillimin e balancuar rajonal? **</w:t>
            </w:r>
          </w:p>
        </w:tc>
        <w:tc>
          <w:tcPr>
            <w:tcW w:w="2097" w:type="dxa"/>
          </w:tcPr>
          <w:p w14:paraId="20527EBB" w14:textId="28CD83C8" w:rsidR="00402C11" w:rsidRPr="00EF1E7B" w:rsidRDefault="00CF1122" w:rsidP="00004BBA">
            <w:pPr>
              <w:jc w:val="center"/>
              <w:rPr>
                <w:lang w:val="sq-AL"/>
              </w:rPr>
            </w:pPr>
            <w:r w:rsidRPr="00EF1E7B">
              <w:rPr>
                <w:lang w:val="sq-AL"/>
              </w:rPr>
              <w:t>PO / J</w:t>
            </w:r>
            <w:r w:rsidR="00402C11" w:rsidRPr="00EF1E7B">
              <w:rPr>
                <w:lang w:val="sq-AL"/>
              </w:rPr>
              <w:t>O</w:t>
            </w:r>
          </w:p>
        </w:tc>
      </w:tr>
    </w:tbl>
    <w:p w14:paraId="0EEEE41F" w14:textId="6BD7E66D" w:rsidR="00CF1122" w:rsidRDefault="00CF1122" w:rsidP="00EF1E7B">
      <w:pPr>
        <w:pStyle w:val="Header"/>
        <w:tabs>
          <w:tab w:val="clear" w:pos="4536"/>
          <w:tab w:val="clear" w:pos="9072"/>
        </w:tabs>
        <w:spacing w:line="276" w:lineRule="auto"/>
        <w:rPr>
          <w:sz w:val="20"/>
          <w:szCs w:val="20"/>
          <w:lang w:val="sq-AL"/>
        </w:rPr>
      </w:pPr>
      <w:r w:rsidRPr="00EF1E7B">
        <w:rPr>
          <w:sz w:val="20"/>
          <w:szCs w:val="20"/>
          <w:lang w:val="sq-AL"/>
        </w:rPr>
        <w:t>Fushat e shënuara me * nuk aplikohen për aplikimet nga qendrat rajonale</w:t>
      </w:r>
      <w:r w:rsidR="00EF1E7B" w:rsidRPr="00EF1E7B">
        <w:rPr>
          <w:sz w:val="20"/>
          <w:szCs w:val="20"/>
          <w:lang w:val="sq-AL"/>
        </w:rPr>
        <w:t>.</w:t>
      </w:r>
    </w:p>
    <w:p w14:paraId="5A012C8D" w14:textId="77777777" w:rsidR="00BF2911" w:rsidRPr="00BF2911" w:rsidRDefault="00BF2911" w:rsidP="00BF2911">
      <w:pPr>
        <w:pStyle w:val="Header"/>
        <w:rPr>
          <w:sz w:val="20"/>
          <w:szCs w:val="20"/>
          <w:lang w:val="sq-AL"/>
        </w:rPr>
      </w:pPr>
      <w:r w:rsidRPr="00BF2911">
        <w:rPr>
          <w:sz w:val="20"/>
          <w:szCs w:val="20"/>
          <w:lang w:val="sq-AL"/>
        </w:rPr>
        <w:t>Fushat e shënuara me ** vlejnë posaçërisht për Qendrat Rajonale. Kriteret (shiko Shtojcën 1) janë të njëjta me ato të përdorura kur aplikoni për fonde nga Programi i balancuar rajonal i zhvillimit.</w:t>
      </w:r>
    </w:p>
    <w:p w14:paraId="54AFE286" w14:textId="77777777" w:rsidR="00BF2911" w:rsidRPr="00EF1E7B" w:rsidRDefault="00BF2911" w:rsidP="00EF1E7B">
      <w:pPr>
        <w:pStyle w:val="Header"/>
        <w:tabs>
          <w:tab w:val="clear" w:pos="4536"/>
          <w:tab w:val="clear" w:pos="9072"/>
        </w:tabs>
        <w:spacing w:line="276" w:lineRule="auto"/>
        <w:rPr>
          <w:sz w:val="20"/>
          <w:szCs w:val="20"/>
          <w:lang w:val="sq-AL"/>
        </w:rPr>
      </w:pPr>
    </w:p>
    <w:p w14:paraId="7FF59B6C" w14:textId="77777777" w:rsidR="00121CAA" w:rsidRPr="00EF1E7B" w:rsidRDefault="00121CAA" w:rsidP="0040777C">
      <w:pPr>
        <w:rPr>
          <w:lang w:val="sq-AL"/>
        </w:rPr>
      </w:pPr>
    </w:p>
    <w:p w14:paraId="49C956D7" w14:textId="77777777" w:rsidR="000007DC" w:rsidRPr="00EF1E7B" w:rsidRDefault="000007DC" w:rsidP="00EF1E7B">
      <w:pPr>
        <w:rPr>
          <w:lang w:val="sq-AL"/>
        </w:rPr>
      </w:pPr>
      <w:r w:rsidRPr="00EF1E7B">
        <w:rPr>
          <w:lang w:val="sq-AL"/>
        </w:rPr>
        <w:t>2. VLERËSIMI SIPAS INDEKSIT TË ZHVILLIMIT KOMUNAL DHE BASHKËPUNIMI NDËRKOMUNAL (Pikët e mundshme maksimale: 40)</w:t>
      </w:r>
    </w:p>
    <w:tbl>
      <w:tblPr>
        <w:tblStyle w:val="TableGrid"/>
        <w:tblW w:w="0" w:type="auto"/>
        <w:tblLook w:val="04A0" w:firstRow="1" w:lastRow="0" w:firstColumn="1" w:lastColumn="0" w:noHBand="0" w:noVBand="1"/>
      </w:tblPr>
      <w:tblGrid>
        <w:gridCol w:w="5920"/>
        <w:gridCol w:w="2126"/>
      </w:tblGrid>
      <w:tr w:rsidR="00B73BC2" w:rsidRPr="00EF1E7B" w14:paraId="5D68B92F" w14:textId="77777777" w:rsidTr="004C3A81">
        <w:tc>
          <w:tcPr>
            <w:tcW w:w="5920" w:type="dxa"/>
          </w:tcPr>
          <w:p w14:paraId="6DAE5765" w14:textId="4C9D5985" w:rsidR="00B73BC2" w:rsidRPr="00EF1E7B" w:rsidRDefault="000007DC" w:rsidP="0040777C">
            <w:pPr>
              <w:rPr>
                <w:lang w:val="sq-AL"/>
              </w:rPr>
            </w:pPr>
            <w:r w:rsidRPr="00EF1E7B">
              <w:rPr>
                <w:lang w:val="sq-AL"/>
              </w:rPr>
              <w:t>KRITERI</w:t>
            </w:r>
          </w:p>
        </w:tc>
        <w:tc>
          <w:tcPr>
            <w:tcW w:w="2126" w:type="dxa"/>
          </w:tcPr>
          <w:p w14:paraId="545BB62D" w14:textId="78B168F8" w:rsidR="00B73BC2" w:rsidRPr="00EF1E7B" w:rsidRDefault="000007DC" w:rsidP="00B73BC2">
            <w:pPr>
              <w:jc w:val="center"/>
              <w:rPr>
                <w:lang w:val="sq-AL"/>
              </w:rPr>
            </w:pPr>
            <w:r w:rsidRPr="00EF1E7B">
              <w:rPr>
                <w:lang w:val="sq-AL"/>
              </w:rPr>
              <w:t>Pikët maksimale që mund të arrihen</w:t>
            </w:r>
          </w:p>
        </w:tc>
      </w:tr>
      <w:tr w:rsidR="00B73BC2" w:rsidRPr="00EF1E7B" w14:paraId="650AD2A5" w14:textId="77777777" w:rsidTr="00EF1E7B">
        <w:tc>
          <w:tcPr>
            <w:tcW w:w="5920" w:type="dxa"/>
            <w:shd w:val="clear" w:color="auto" w:fill="D9D9D9" w:themeFill="background1" w:themeFillShade="D9"/>
          </w:tcPr>
          <w:p w14:paraId="15951BF0" w14:textId="4914DCCB" w:rsidR="00B73BC2" w:rsidRPr="00EF1E7B" w:rsidRDefault="000007DC" w:rsidP="0040777C">
            <w:pPr>
              <w:rPr>
                <w:lang w:val="sq-AL"/>
              </w:rPr>
            </w:pPr>
            <w:r w:rsidRPr="00EF1E7B">
              <w:rPr>
                <w:lang w:val="sq-AL"/>
              </w:rPr>
              <w:t>Cilës kategori të Indeksit të Zhvillimit Komunal, sipas vlerës së tanishme të Indeksit të Zhvillimit Komunal, i takon aplikimi?</w:t>
            </w:r>
            <w:r w:rsidR="00121CAA" w:rsidRPr="00EF1E7B">
              <w:rPr>
                <w:lang w:val="sq-AL"/>
              </w:rPr>
              <w:t>*</w:t>
            </w:r>
          </w:p>
        </w:tc>
        <w:tc>
          <w:tcPr>
            <w:tcW w:w="2126" w:type="dxa"/>
            <w:shd w:val="clear" w:color="auto" w:fill="D9D9D9" w:themeFill="background1" w:themeFillShade="D9"/>
          </w:tcPr>
          <w:p w14:paraId="145D9431" w14:textId="208841C5" w:rsidR="00B73BC2" w:rsidRPr="00EF1E7B" w:rsidRDefault="008C6622" w:rsidP="00B73BC2">
            <w:pPr>
              <w:jc w:val="center"/>
              <w:rPr>
                <w:lang w:val="sq-AL"/>
              </w:rPr>
            </w:pPr>
            <w:r w:rsidRPr="00EF1E7B">
              <w:rPr>
                <w:lang w:val="sq-AL"/>
              </w:rPr>
              <w:t>3</w:t>
            </w:r>
            <w:r w:rsidR="00B73BC2" w:rsidRPr="00EF1E7B">
              <w:rPr>
                <w:lang w:val="sq-AL"/>
              </w:rPr>
              <w:t>0</w:t>
            </w:r>
          </w:p>
        </w:tc>
      </w:tr>
      <w:tr w:rsidR="00B73BC2" w:rsidRPr="00EF1E7B" w14:paraId="3F6C6900" w14:textId="77777777" w:rsidTr="004C3A81">
        <w:tc>
          <w:tcPr>
            <w:tcW w:w="5920" w:type="dxa"/>
          </w:tcPr>
          <w:p w14:paraId="40828D24" w14:textId="77777777" w:rsidR="00DE564C" w:rsidRPr="00DE564C" w:rsidRDefault="00DE564C" w:rsidP="00DE564C">
            <w:pPr>
              <w:spacing w:line="276" w:lineRule="auto"/>
            </w:pPr>
            <w:r w:rsidRPr="00DE564C">
              <w:rPr>
                <w:lang w:val="sq-AL"/>
              </w:rPr>
              <w:t>A i përmbush projekti kriteret për një projekt rajonal në përputhje me udhëzimet për zhvillimin e balancuar rajonal? **</w:t>
            </w:r>
          </w:p>
          <w:p w14:paraId="5638B402" w14:textId="430FABD4" w:rsidR="00B73BC2" w:rsidRPr="00EF1E7B" w:rsidRDefault="00B73BC2" w:rsidP="00EF1E7B">
            <w:pPr>
              <w:spacing w:line="276" w:lineRule="auto"/>
              <w:rPr>
                <w:lang w:val="sq-AL"/>
              </w:rPr>
            </w:pPr>
          </w:p>
        </w:tc>
        <w:tc>
          <w:tcPr>
            <w:tcW w:w="2126" w:type="dxa"/>
          </w:tcPr>
          <w:p w14:paraId="585E944E" w14:textId="0FACC983" w:rsidR="00B73BC2" w:rsidRPr="00EF1E7B" w:rsidRDefault="008C6622" w:rsidP="004C3A81">
            <w:pPr>
              <w:spacing w:line="276" w:lineRule="auto"/>
              <w:jc w:val="center"/>
              <w:rPr>
                <w:lang w:val="sq-AL"/>
              </w:rPr>
            </w:pPr>
            <w:r w:rsidRPr="00EF1E7B">
              <w:rPr>
                <w:lang w:val="sq-AL"/>
              </w:rPr>
              <w:t>10</w:t>
            </w:r>
          </w:p>
        </w:tc>
      </w:tr>
    </w:tbl>
    <w:p w14:paraId="02A03C11" w14:textId="40672466" w:rsidR="0040777C" w:rsidRPr="00EF1E7B" w:rsidRDefault="000007DC" w:rsidP="00EF1E7B">
      <w:pPr>
        <w:rPr>
          <w:lang w:val="sq-AL"/>
        </w:rPr>
      </w:pPr>
      <w:r w:rsidRPr="00EF1E7B">
        <w:rPr>
          <w:lang w:val="sq-AL"/>
        </w:rPr>
        <w:t>3. RELEVANCA E PROJEKTIT</w:t>
      </w:r>
      <w:r w:rsidR="00B73BC2" w:rsidRPr="00EF1E7B">
        <w:rPr>
          <w:lang w:val="sq-AL"/>
        </w:rPr>
        <w:t xml:space="preserve"> </w:t>
      </w:r>
      <w:r w:rsidRPr="00EF1E7B">
        <w:rPr>
          <w:lang w:val="sq-AL"/>
        </w:rPr>
        <w:t>(Pikët e mundshme maksimale</w:t>
      </w:r>
      <w:r w:rsidR="0040777C" w:rsidRPr="00EF1E7B">
        <w:rPr>
          <w:lang w:val="sq-AL"/>
        </w:rPr>
        <w:t>: 30)</w:t>
      </w:r>
    </w:p>
    <w:tbl>
      <w:tblPr>
        <w:tblStyle w:val="TableGrid"/>
        <w:tblW w:w="0" w:type="auto"/>
        <w:tblLook w:val="04A0" w:firstRow="1" w:lastRow="0" w:firstColumn="1" w:lastColumn="0" w:noHBand="0" w:noVBand="1"/>
      </w:tblPr>
      <w:tblGrid>
        <w:gridCol w:w="5920"/>
        <w:gridCol w:w="2126"/>
      </w:tblGrid>
      <w:tr w:rsidR="00B73BC2" w:rsidRPr="00EF1E7B" w14:paraId="6CA1082C" w14:textId="77777777" w:rsidTr="004C3A81">
        <w:tc>
          <w:tcPr>
            <w:tcW w:w="5920" w:type="dxa"/>
          </w:tcPr>
          <w:p w14:paraId="582D1311" w14:textId="4FEC2FED" w:rsidR="00B73BC2" w:rsidRPr="00EF1E7B" w:rsidRDefault="000007DC" w:rsidP="0040777C">
            <w:pPr>
              <w:rPr>
                <w:lang w:val="sq-AL"/>
              </w:rPr>
            </w:pPr>
            <w:r w:rsidRPr="00EF1E7B">
              <w:rPr>
                <w:lang w:val="sq-AL"/>
              </w:rPr>
              <w:t>KRITERI</w:t>
            </w:r>
          </w:p>
        </w:tc>
        <w:tc>
          <w:tcPr>
            <w:tcW w:w="2126" w:type="dxa"/>
          </w:tcPr>
          <w:p w14:paraId="54416A8A" w14:textId="59193FD7" w:rsidR="00B73BC2" w:rsidRPr="00EF1E7B" w:rsidRDefault="000007DC" w:rsidP="00B73BC2">
            <w:pPr>
              <w:jc w:val="center"/>
              <w:rPr>
                <w:lang w:val="sq-AL"/>
              </w:rPr>
            </w:pPr>
            <w:r w:rsidRPr="00EF1E7B">
              <w:rPr>
                <w:lang w:val="sq-AL"/>
              </w:rPr>
              <w:t>Pikët maksimale që mund të arrihen</w:t>
            </w:r>
          </w:p>
        </w:tc>
      </w:tr>
      <w:tr w:rsidR="00B73BC2" w:rsidRPr="00EF1E7B" w14:paraId="5A363069" w14:textId="77777777" w:rsidTr="00EF1E7B">
        <w:tc>
          <w:tcPr>
            <w:tcW w:w="5920" w:type="dxa"/>
            <w:shd w:val="clear" w:color="auto" w:fill="D9D9D9" w:themeFill="background1" w:themeFillShade="D9"/>
          </w:tcPr>
          <w:p w14:paraId="78C36A3B" w14:textId="38B31337" w:rsidR="00B73BC2" w:rsidRPr="00EF1E7B" w:rsidRDefault="000007DC" w:rsidP="000007DC">
            <w:pPr>
              <w:rPr>
                <w:lang w:val="sq-AL"/>
              </w:rPr>
            </w:pPr>
            <w:r w:rsidRPr="00EF1E7B">
              <w:rPr>
                <w:lang w:val="sq-AL"/>
              </w:rPr>
              <w:t>Projekti qartë u referohet problemeve të përgjithshme.</w:t>
            </w:r>
          </w:p>
        </w:tc>
        <w:tc>
          <w:tcPr>
            <w:tcW w:w="2126" w:type="dxa"/>
            <w:shd w:val="clear" w:color="auto" w:fill="D9D9D9" w:themeFill="background1" w:themeFillShade="D9"/>
          </w:tcPr>
          <w:p w14:paraId="7BCF4926" w14:textId="037675C2" w:rsidR="00B73BC2" w:rsidRPr="00EF1E7B" w:rsidRDefault="00B73BC2" w:rsidP="00B73BC2">
            <w:pPr>
              <w:jc w:val="center"/>
              <w:rPr>
                <w:lang w:val="sq-AL"/>
              </w:rPr>
            </w:pPr>
            <w:r w:rsidRPr="00EF1E7B">
              <w:rPr>
                <w:lang w:val="sq-AL"/>
              </w:rPr>
              <w:t>10</w:t>
            </w:r>
          </w:p>
        </w:tc>
      </w:tr>
      <w:tr w:rsidR="00B73BC2" w:rsidRPr="00EF1E7B" w14:paraId="2EE6B6D6" w14:textId="77777777" w:rsidTr="004C3A81">
        <w:tc>
          <w:tcPr>
            <w:tcW w:w="5920" w:type="dxa"/>
          </w:tcPr>
          <w:p w14:paraId="6BEC24DA" w14:textId="7BACB724" w:rsidR="00B73BC2" w:rsidRPr="00EF1E7B" w:rsidRDefault="000007DC" w:rsidP="00EF1E7B">
            <w:pPr>
              <w:spacing w:line="276" w:lineRule="auto"/>
              <w:rPr>
                <w:lang w:val="sq-AL"/>
              </w:rPr>
            </w:pPr>
            <w:r w:rsidRPr="00EF1E7B">
              <w:rPr>
                <w:lang w:val="sq-AL"/>
              </w:rPr>
              <w:t>Projekti është i harmonizuar me dhe/ose është pjesë e programit ose strategjisë lokale/</w:t>
            </w:r>
            <w:r w:rsidR="00BF2911">
              <w:rPr>
                <w:lang w:val="sq-AL"/>
              </w:rPr>
              <w:t>rajonale/</w:t>
            </w:r>
            <w:r w:rsidRPr="00EF1E7B">
              <w:rPr>
                <w:lang w:val="sq-AL"/>
              </w:rPr>
              <w:t>kombëtare/së BE-së.</w:t>
            </w:r>
          </w:p>
        </w:tc>
        <w:tc>
          <w:tcPr>
            <w:tcW w:w="2126" w:type="dxa"/>
          </w:tcPr>
          <w:p w14:paraId="5D4EB0EF" w14:textId="729032F2" w:rsidR="00B73BC2" w:rsidRPr="00EF1E7B" w:rsidRDefault="00B73BC2" w:rsidP="00B73BC2">
            <w:pPr>
              <w:spacing w:line="276" w:lineRule="auto"/>
              <w:jc w:val="center"/>
              <w:rPr>
                <w:lang w:val="sq-AL"/>
              </w:rPr>
            </w:pPr>
            <w:r w:rsidRPr="00EF1E7B">
              <w:rPr>
                <w:lang w:val="sq-AL"/>
              </w:rPr>
              <w:t>5</w:t>
            </w:r>
          </w:p>
        </w:tc>
      </w:tr>
      <w:tr w:rsidR="00B73BC2" w:rsidRPr="00EF1E7B" w14:paraId="33B6DD29" w14:textId="77777777" w:rsidTr="00EF1E7B">
        <w:tc>
          <w:tcPr>
            <w:tcW w:w="5920" w:type="dxa"/>
            <w:shd w:val="clear" w:color="auto" w:fill="D9D9D9" w:themeFill="background1" w:themeFillShade="D9"/>
          </w:tcPr>
          <w:p w14:paraId="64010CCD" w14:textId="48F50557" w:rsidR="00B73BC2" w:rsidRPr="00EF1E7B" w:rsidRDefault="002637E2" w:rsidP="00EF1E7B">
            <w:pPr>
              <w:spacing w:line="276" w:lineRule="auto"/>
              <w:rPr>
                <w:lang w:val="sq-AL"/>
              </w:rPr>
            </w:pPr>
            <w:r w:rsidRPr="00EF1E7B">
              <w:rPr>
                <w:lang w:val="sq-AL"/>
              </w:rPr>
              <w:t>Projekti është përzgjedhur/miratuar në forumin e bashkësisë ose forumin rajonal</w:t>
            </w:r>
          </w:p>
        </w:tc>
        <w:tc>
          <w:tcPr>
            <w:tcW w:w="2126" w:type="dxa"/>
            <w:shd w:val="clear" w:color="auto" w:fill="D9D9D9" w:themeFill="background1" w:themeFillShade="D9"/>
          </w:tcPr>
          <w:p w14:paraId="1755053E" w14:textId="77777777" w:rsidR="00B73BC2" w:rsidRPr="00EF1E7B" w:rsidRDefault="00B73BC2" w:rsidP="00B73BC2">
            <w:pPr>
              <w:spacing w:line="276" w:lineRule="auto"/>
              <w:jc w:val="center"/>
              <w:rPr>
                <w:lang w:val="sq-AL"/>
              </w:rPr>
            </w:pPr>
            <w:r w:rsidRPr="00EF1E7B">
              <w:rPr>
                <w:lang w:val="sq-AL"/>
              </w:rPr>
              <w:t>5</w:t>
            </w:r>
          </w:p>
        </w:tc>
      </w:tr>
      <w:tr w:rsidR="00B73BC2" w:rsidRPr="00EF1E7B" w14:paraId="36CE7CED" w14:textId="77777777" w:rsidTr="004C3A81">
        <w:tc>
          <w:tcPr>
            <w:tcW w:w="5920" w:type="dxa"/>
          </w:tcPr>
          <w:p w14:paraId="094F4C3C" w14:textId="0948AD76" w:rsidR="00B73BC2" w:rsidRPr="00EF1E7B" w:rsidRDefault="002637E2" w:rsidP="00EF1E7B">
            <w:pPr>
              <w:spacing w:line="276" w:lineRule="auto"/>
              <w:rPr>
                <w:lang w:val="sq-AL"/>
              </w:rPr>
            </w:pPr>
            <w:r w:rsidRPr="00EF1E7B">
              <w:rPr>
                <w:lang w:val="sq-AL"/>
              </w:rPr>
              <w:lastRenderedPageBreak/>
              <w:t>Projekti kontribuon në realizimin e njërit nga Qëllimet e Zhvillimit të Qëndrueshëm të përmendur në Udhëzimet për Aplikantë.</w:t>
            </w:r>
          </w:p>
        </w:tc>
        <w:tc>
          <w:tcPr>
            <w:tcW w:w="2126" w:type="dxa"/>
          </w:tcPr>
          <w:p w14:paraId="422C4136" w14:textId="20FF52D8" w:rsidR="00B73BC2" w:rsidRPr="00EF1E7B" w:rsidRDefault="00B73BC2" w:rsidP="00B73BC2">
            <w:pPr>
              <w:spacing w:line="276" w:lineRule="auto"/>
              <w:jc w:val="center"/>
              <w:rPr>
                <w:lang w:val="sq-AL"/>
              </w:rPr>
            </w:pPr>
            <w:r w:rsidRPr="00EF1E7B">
              <w:rPr>
                <w:lang w:val="sq-AL"/>
              </w:rPr>
              <w:t>5</w:t>
            </w:r>
          </w:p>
        </w:tc>
      </w:tr>
      <w:tr w:rsidR="00B73BC2" w:rsidRPr="00EF1E7B" w14:paraId="2A2F1C71" w14:textId="77777777" w:rsidTr="00EF1E7B">
        <w:tc>
          <w:tcPr>
            <w:tcW w:w="5920" w:type="dxa"/>
            <w:shd w:val="clear" w:color="auto" w:fill="D9D9D9" w:themeFill="background1" w:themeFillShade="D9"/>
          </w:tcPr>
          <w:p w14:paraId="2A9B4E71" w14:textId="7ADAA4B5" w:rsidR="00B73BC2" w:rsidRPr="00EF1E7B" w:rsidRDefault="002637E2" w:rsidP="00EF1E7B">
            <w:pPr>
              <w:spacing w:line="276" w:lineRule="auto"/>
              <w:rPr>
                <w:lang w:val="sq-AL"/>
              </w:rPr>
            </w:pPr>
            <w:r w:rsidRPr="00EF1E7B">
              <w:rPr>
                <w:lang w:val="sq-AL"/>
              </w:rPr>
              <w:t>Projekti qartë përshkruan ndikimin te çështjet gjinore (duke u përgjigjur nevojave të grave dhe burrave) dhe u referohet problemeve të grupeve të cënueshme.</w:t>
            </w:r>
          </w:p>
        </w:tc>
        <w:tc>
          <w:tcPr>
            <w:tcW w:w="2126" w:type="dxa"/>
            <w:shd w:val="clear" w:color="auto" w:fill="D9D9D9" w:themeFill="background1" w:themeFillShade="D9"/>
          </w:tcPr>
          <w:p w14:paraId="231CFD53" w14:textId="7E19F5B7" w:rsidR="00B73BC2" w:rsidRPr="00EF1E7B" w:rsidRDefault="00B73BC2" w:rsidP="00B73BC2">
            <w:pPr>
              <w:spacing w:line="276" w:lineRule="auto"/>
              <w:jc w:val="center"/>
              <w:rPr>
                <w:lang w:val="sq-AL"/>
              </w:rPr>
            </w:pPr>
            <w:r w:rsidRPr="00EF1E7B">
              <w:rPr>
                <w:lang w:val="sq-AL"/>
              </w:rPr>
              <w:t>5</w:t>
            </w:r>
          </w:p>
        </w:tc>
      </w:tr>
    </w:tbl>
    <w:p w14:paraId="724C774E" w14:textId="77777777" w:rsidR="00121CAA" w:rsidRPr="00EF1E7B" w:rsidRDefault="00121CAA" w:rsidP="00B73BC2">
      <w:pPr>
        <w:rPr>
          <w:lang w:val="sq-AL"/>
        </w:rPr>
      </w:pPr>
    </w:p>
    <w:p w14:paraId="3F777F89" w14:textId="799B8FE3" w:rsidR="00B73BC2" w:rsidRPr="00EF1E7B" w:rsidRDefault="002637E2" w:rsidP="00EF1E7B">
      <w:pPr>
        <w:rPr>
          <w:lang w:val="sq-AL"/>
        </w:rPr>
      </w:pPr>
      <w:r w:rsidRPr="00EF1E7B">
        <w:rPr>
          <w:lang w:val="sq-AL"/>
        </w:rPr>
        <w:t>4. QËNDRUESHMËRIA E PROJEKTIT (Pikët e mundshme maksimale: 30)</w:t>
      </w:r>
    </w:p>
    <w:tbl>
      <w:tblPr>
        <w:tblStyle w:val="TableGrid"/>
        <w:tblW w:w="0" w:type="auto"/>
        <w:tblLook w:val="04A0" w:firstRow="1" w:lastRow="0" w:firstColumn="1" w:lastColumn="0" w:noHBand="0" w:noVBand="1"/>
      </w:tblPr>
      <w:tblGrid>
        <w:gridCol w:w="5920"/>
        <w:gridCol w:w="2126"/>
      </w:tblGrid>
      <w:tr w:rsidR="00B73BC2" w:rsidRPr="00EF1E7B" w14:paraId="1DEE5D22" w14:textId="77777777" w:rsidTr="004C3A81">
        <w:tc>
          <w:tcPr>
            <w:tcW w:w="5920" w:type="dxa"/>
          </w:tcPr>
          <w:p w14:paraId="66649278" w14:textId="30EDA63F" w:rsidR="00B73BC2" w:rsidRPr="00EF1E7B" w:rsidRDefault="002637E2" w:rsidP="00B73BC2">
            <w:pPr>
              <w:rPr>
                <w:lang w:val="sq-AL"/>
              </w:rPr>
            </w:pPr>
            <w:r w:rsidRPr="00EF1E7B">
              <w:rPr>
                <w:lang w:val="sq-AL"/>
              </w:rPr>
              <w:t>KRITERI</w:t>
            </w:r>
          </w:p>
        </w:tc>
        <w:tc>
          <w:tcPr>
            <w:tcW w:w="2126" w:type="dxa"/>
          </w:tcPr>
          <w:p w14:paraId="3B53EE6B" w14:textId="4B2F0ECE" w:rsidR="00B73BC2" w:rsidRPr="00EF1E7B" w:rsidRDefault="002637E2" w:rsidP="00B73BC2">
            <w:pPr>
              <w:jc w:val="center"/>
              <w:rPr>
                <w:lang w:val="sq-AL"/>
              </w:rPr>
            </w:pPr>
            <w:r w:rsidRPr="00EF1E7B">
              <w:rPr>
                <w:lang w:val="sq-AL"/>
              </w:rPr>
              <w:t>Numri maksimal i pikëve që mund të fitohen</w:t>
            </w:r>
          </w:p>
        </w:tc>
      </w:tr>
      <w:tr w:rsidR="003543DE" w:rsidRPr="00EF1E7B" w14:paraId="7F6DEA00" w14:textId="77777777" w:rsidTr="00EF1E7B">
        <w:tc>
          <w:tcPr>
            <w:tcW w:w="5920" w:type="dxa"/>
            <w:shd w:val="clear" w:color="auto" w:fill="D9D9D9" w:themeFill="background1" w:themeFillShade="D9"/>
          </w:tcPr>
          <w:p w14:paraId="7B14B177" w14:textId="280F8758" w:rsidR="003543DE" w:rsidRPr="00EF1E7B" w:rsidRDefault="002637E2" w:rsidP="00B73BC2">
            <w:pPr>
              <w:rPr>
                <w:lang w:val="sq-AL"/>
              </w:rPr>
            </w:pPr>
            <w:r w:rsidRPr="00EF1E7B">
              <w:rPr>
                <w:lang w:val="sq-AL"/>
              </w:rPr>
              <w:t>Projekti ka potencial të qartë që të mobilizojë burime të mëtutjeshme.</w:t>
            </w:r>
          </w:p>
        </w:tc>
        <w:tc>
          <w:tcPr>
            <w:tcW w:w="2126" w:type="dxa"/>
            <w:shd w:val="clear" w:color="auto" w:fill="D9D9D9" w:themeFill="background1" w:themeFillShade="D9"/>
          </w:tcPr>
          <w:p w14:paraId="63E9123F" w14:textId="4038B804" w:rsidR="003543DE" w:rsidRPr="00EF1E7B" w:rsidRDefault="00DB2F04" w:rsidP="00B73BC2">
            <w:pPr>
              <w:jc w:val="center"/>
              <w:rPr>
                <w:lang w:val="sq-AL"/>
              </w:rPr>
            </w:pPr>
            <w:r w:rsidRPr="00EF1E7B">
              <w:rPr>
                <w:lang w:val="sq-AL"/>
              </w:rPr>
              <w:t>1</w:t>
            </w:r>
            <w:r w:rsidR="00CB3307" w:rsidRPr="00EF1E7B">
              <w:rPr>
                <w:lang w:val="sq-AL"/>
              </w:rPr>
              <w:t>5</w:t>
            </w:r>
          </w:p>
        </w:tc>
      </w:tr>
      <w:tr w:rsidR="00CB3307" w:rsidRPr="00EF1E7B" w14:paraId="3C53931E" w14:textId="77777777" w:rsidTr="00EF1E7B">
        <w:tc>
          <w:tcPr>
            <w:tcW w:w="5920" w:type="dxa"/>
            <w:shd w:val="clear" w:color="auto" w:fill="D9D9D9" w:themeFill="background1" w:themeFillShade="D9"/>
          </w:tcPr>
          <w:p w14:paraId="5A337950" w14:textId="76C8073E" w:rsidR="00CB3307" w:rsidRPr="00EF1E7B" w:rsidRDefault="002637E2" w:rsidP="00F171B0">
            <w:pPr>
              <w:rPr>
                <w:lang w:val="sq-AL"/>
              </w:rPr>
            </w:pPr>
            <w:r w:rsidRPr="00EF1E7B">
              <w:rPr>
                <w:lang w:val="sq-AL"/>
              </w:rPr>
              <w:t>Projekti qartë u referohet çështjeve të qëndrueshmërisë së intervenimit të planifikuar infrastrukturor.</w:t>
            </w:r>
          </w:p>
        </w:tc>
        <w:tc>
          <w:tcPr>
            <w:tcW w:w="2126" w:type="dxa"/>
            <w:shd w:val="clear" w:color="auto" w:fill="D9D9D9" w:themeFill="background1" w:themeFillShade="D9"/>
          </w:tcPr>
          <w:p w14:paraId="03C1C948" w14:textId="018D1802" w:rsidR="00CB3307" w:rsidRPr="00EF1E7B" w:rsidRDefault="00CB3307" w:rsidP="00F171B0">
            <w:pPr>
              <w:jc w:val="center"/>
              <w:rPr>
                <w:lang w:val="sq-AL"/>
              </w:rPr>
            </w:pPr>
            <w:r w:rsidRPr="00EF1E7B">
              <w:rPr>
                <w:lang w:val="sq-AL"/>
              </w:rPr>
              <w:t>10</w:t>
            </w:r>
          </w:p>
        </w:tc>
      </w:tr>
      <w:tr w:rsidR="00643611" w:rsidRPr="00EF1E7B" w14:paraId="6E006E5D" w14:textId="77777777" w:rsidTr="00EF1E7B">
        <w:tc>
          <w:tcPr>
            <w:tcW w:w="5920" w:type="dxa"/>
            <w:shd w:val="clear" w:color="auto" w:fill="D9D9D9" w:themeFill="background1" w:themeFillShade="D9"/>
          </w:tcPr>
          <w:p w14:paraId="2DD8C07E" w14:textId="69F1D844" w:rsidR="00643611" w:rsidRPr="00EF1E7B" w:rsidRDefault="002637E2" w:rsidP="00517FC0">
            <w:pPr>
              <w:rPr>
                <w:lang w:val="sq-AL"/>
              </w:rPr>
            </w:pPr>
            <w:r w:rsidRPr="00EF1E7B">
              <w:rPr>
                <w:lang w:val="sq-AL"/>
              </w:rPr>
              <w:t>Komunana/qendrat rajonale pajtohen që ta bashkëfinancojnë projektin.</w:t>
            </w:r>
          </w:p>
        </w:tc>
        <w:tc>
          <w:tcPr>
            <w:tcW w:w="2126" w:type="dxa"/>
            <w:shd w:val="clear" w:color="auto" w:fill="D9D9D9" w:themeFill="background1" w:themeFillShade="D9"/>
          </w:tcPr>
          <w:p w14:paraId="6F5D6BE0" w14:textId="0E59D192" w:rsidR="00643611" w:rsidRPr="00EF1E7B" w:rsidRDefault="00DB2F04" w:rsidP="00B73BC2">
            <w:pPr>
              <w:jc w:val="center"/>
              <w:rPr>
                <w:lang w:val="sq-AL"/>
              </w:rPr>
            </w:pPr>
            <w:r w:rsidRPr="00EF1E7B">
              <w:rPr>
                <w:lang w:val="sq-AL"/>
              </w:rPr>
              <w:t>5</w:t>
            </w:r>
          </w:p>
        </w:tc>
      </w:tr>
    </w:tbl>
    <w:p w14:paraId="4124B8E8" w14:textId="2A324684" w:rsidR="006D5EEF" w:rsidRPr="001B2406" w:rsidRDefault="001B2406" w:rsidP="006D5EEF">
      <w:pPr>
        <w:rPr>
          <w:i/>
          <w:lang w:val="sq-AL"/>
        </w:rPr>
      </w:pPr>
      <w:r w:rsidRPr="001B2406">
        <w:rPr>
          <w:i/>
          <w:lang w:val="sq-AL"/>
        </w:rPr>
        <w:t>Qëndrueshmëria e projektit dhe mirëmba</w:t>
      </w:r>
      <w:r>
        <w:rPr>
          <w:i/>
          <w:lang w:val="sq-AL"/>
        </w:rPr>
        <w:t>jtja e projektit janë dy kuptim</w:t>
      </w:r>
      <w:r w:rsidRPr="001B2406">
        <w:rPr>
          <w:i/>
          <w:lang w:val="sq-AL"/>
        </w:rPr>
        <w:t>e të ndryshme. Aplikantët duhet të shpjegojnë qartë aspektin e qëndrueshmërisë.</w:t>
      </w:r>
    </w:p>
    <w:p w14:paraId="6D4C63C3" w14:textId="77777777" w:rsidR="001B2406" w:rsidRPr="00EF1E7B" w:rsidRDefault="001B2406" w:rsidP="006D5EEF">
      <w:pPr>
        <w:rPr>
          <w:lang w:val="sq-AL"/>
        </w:rPr>
      </w:pPr>
    </w:p>
    <w:p w14:paraId="78D0D095" w14:textId="77777777" w:rsidR="00EF1E7B" w:rsidRPr="00EF1E7B" w:rsidRDefault="002637E2" w:rsidP="006D5EEF">
      <w:pPr>
        <w:rPr>
          <w:lang w:val="sq-AL"/>
        </w:rPr>
      </w:pPr>
      <w:r w:rsidRPr="00EF1E7B">
        <w:rPr>
          <w:lang w:val="sq-AL"/>
        </w:rPr>
        <w:t>Pasi të jenë vlerësuar dhe vlerësuar të gjitha aplikimet, do të zbatohet parimi shtesë i përparësisë, sipas rendit të mëposhtëm të përparësive:</w:t>
      </w:r>
    </w:p>
    <w:p w14:paraId="19250E21" w14:textId="7099B9D2" w:rsidR="00EF1E7B" w:rsidRPr="00EF1E7B" w:rsidRDefault="002637E2" w:rsidP="006D5EEF">
      <w:pPr>
        <w:rPr>
          <w:lang w:val="sq-AL"/>
        </w:rPr>
      </w:pPr>
      <w:r w:rsidRPr="00EF1E7B">
        <w:rPr>
          <w:lang w:val="sq-AL"/>
        </w:rPr>
        <w:t>1. Komunat, partneritetet dhe qendrat rajonale që nu</w:t>
      </w:r>
      <w:r w:rsidR="00A45B9C">
        <w:rPr>
          <w:lang w:val="sq-AL"/>
        </w:rPr>
        <w:t xml:space="preserve">k kanë paraqitur ose nuk u janë dhënë mjete </w:t>
      </w:r>
      <w:r w:rsidRPr="00EF1E7B">
        <w:rPr>
          <w:lang w:val="sq-AL"/>
        </w:rPr>
        <w:t xml:space="preserve"> në Thirrjen e parë</w:t>
      </w:r>
    </w:p>
    <w:p w14:paraId="354BE36A" w14:textId="77777777" w:rsidR="00EF1E7B" w:rsidRPr="00EF1E7B" w:rsidRDefault="002637E2" w:rsidP="006D5EEF">
      <w:pPr>
        <w:rPr>
          <w:lang w:val="sq-AL"/>
        </w:rPr>
      </w:pPr>
      <w:r w:rsidRPr="00EF1E7B">
        <w:rPr>
          <w:lang w:val="sq-AL"/>
        </w:rPr>
        <w:t>2. Komunat dhe partneritetet për të cilat u ndanë fonde në Thirrjen e parë.</w:t>
      </w:r>
    </w:p>
    <w:p w14:paraId="72DE432D" w14:textId="77777777" w:rsidR="00EF1E7B" w:rsidRPr="00EF1E7B" w:rsidRDefault="00EF1E7B" w:rsidP="006D5EEF">
      <w:pPr>
        <w:rPr>
          <w:lang w:val="sq-AL"/>
        </w:rPr>
      </w:pPr>
    </w:p>
    <w:p w14:paraId="0C227EA4" w14:textId="53C40BCF" w:rsidR="00121CAA" w:rsidRPr="00EF1E7B" w:rsidRDefault="002637E2" w:rsidP="006D5EEF">
      <w:pPr>
        <w:rPr>
          <w:lang w:val="sq-AL"/>
        </w:rPr>
      </w:pPr>
      <w:r w:rsidRPr="00EF1E7B">
        <w:rPr>
          <w:lang w:val="sq-AL"/>
        </w:rPr>
        <w:t>Ata që i përkasin grupit të dytë sipas rendit të përparësive do të jenë në gjendje të marrin fonde vetëm kur të jetë dhënë grupi i parë.</w:t>
      </w:r>
    </w:p>
    <w:p w14:paraId="2305E4C9" w14:textId="77777777" w:rsidR="00EF1E7B" w:rsidRPr="00EF1E7B" w:rsidRDefault="00EF1E7B" w:rsidP="006D5EEF">
      <w:pPr>
        <w:rPr>
          <w:lang w:val="sq-AL"/>
        </w:rPr>
      </w:pPr>
    </w:p>
    <w:p w14:paraId="5C7C7614" w14:textId="77777777" w:rsidR="002637E2" w:rsidRPr="00EF1E7B" w:rsidRDefault="002637E2" w:rsidP="00EF1E7B">
      <w:pPr>
        <w:rPr>
          <w:lang w:val="sq-AL"/>
        </w:rPr>
      </w:pPr>
      <w:r w:rsidRPr="00EF1E7B">
        <w:rPr>
          <w:lang w:val="sq-AL"/>
        </w:rPr>
        <w:t>Rezultatet e procesit të vlerësimit do të shpallen në uebfaqen dhe aplikantët e përzgjedhur do të njoftohen drejtpërdrejtë.</w:t>
      </w:r>
    </w:p>
    <w:p w14:paraId="5CBCABF4" w14:textId="3426ABAB" w:rsidR="006D5EEF" w:rsidRPr="00EF1E7B" w:rsidRDefault="006D5EEF" w:rsidP="00EF1E7B">
      <w:pPr>
        <w:rPr>
          <w:lang w:val="sq-AL"/>
        </w:rPr>
      </w:pPr>
    </w:p>
    <w:p w14:paraId="4A947EE2" w14:textId="77777777" w:rsidR="00EF1E7B" w:rsidRPr="00EF1E7B" w:rsidRDefault="00EF1E7B" w:rsidP="00EF1E7B">
      <w:pPr>
        <w:rPr>
          <w:lang w:val="sq-AL"/>
        </w:rPr>
      </w:pPr>
    </w:p>
    <w:p w14:paraId="76E13B36" w14:textId="41FD98AB" w:rsidR="002637E2" w:rsidRPr="00EF1E7B" w:rsidRDefault="002637E2" w:rsidP="002637E2">
      <w:pPr>
        <w:rPr>
          <w:b/>
          <w:lang w:val="sq-AL"/>
        </w:rPr>
      </w:pPr>
      <w:bookmarkStart w:id="21" w:name="_Toc20757685"/>
      <w:r w:rsidRPr="00EF1E7B">
        <w:rPr>
          <w:b/>
          <w:lang w:val="sq-AL"/>
        </w:rPr>
        <w:t xml:space="preserve">4. </w:t>
      </w:r>
      <w:r w:rsidR="00442609" w:rsidRPr="00EF1E7B">
        <w:rPr>
          <w:b/>
          <w:lang w:val="sq-AL"/>
        </w:rPr>
        <w:t>DHËNIA E MJETEVE FINANCIARE DHE MARRËVESHJET PËR FINANCIM</w:t>
      </w:r>
    </w:p>
    <w:p w14:paraId="39A974C3" w14:textId="77777777" w:rsidR="002637E2" w:rsidRPr="00EF1E7B" w:rsidRDefault="002637E2" w:rsidP="002637E2">
      <w:pPr>
        <w:rPr>
          <w:b/>
          <w:lang w:val="sq-AL"/>
        </w:rPr>
      </w:pPr>
    </w:p>
    <w:p w14:paraId="34F13747" w14:textId="1E118C14" w:rsidR="002637E2" w:rsidRPr="00EF1E7B" w:rsidRDefault="002637E2" w:rsidP="00EF1E7B">
      <w:pPr>
        <w:rPr>
          <w:b/>
          <w:u w:val="single"/>
          <w:lang w:val="sq-AL"/>
        </w:rPr>
      </w:pPr>
      <w:bookmarkStart w:id="22" w:name="_Toc20757686"/>
      <w:r w:rsidRPr="00EF1E7B">
        <w:rPr>
          <w:b/>
          <w:u w:val="single"/>
          <w:lang w:val="sq-AL"/>
        </w:rPr>
        <w:t>2.4.1. Memorandumet e mirëkuptimit</w:t>
      </w:r>
      <w:r w:rsidR="009463C1" w:rsidRPr="00EF1E7B">
        <w:rPr>
          <w:b/>
          <w:u w:val="single"/>
          <w:lang w:val="sq-AL"/>
        </w:rPr>
        <w:t>,</w:t>
      </w:r>
      <w:r w:rsidRPr="00EF1E7B">
        <w:rPr>
          <w:b/>
          <w:u w:val="single"/>
          <w:lang w:val="sq-AL"/>
        </w:rPr>
        <w:t xml:space="preserve"> marrëveshjet</w:t>
      </w:r>
      <w:bookmarkEnd w:id="21"/>
      <w:bookmarkEnd w:id="22"/>
    </w:p>
    <w:p w14:paraId="7227EF9C" w14:textId="4A320C43" w:rsidR="007C50D1" w:rsidRPr="00EF1E7B" w:rsidRDefault="007C50D1" w:rsidP="00EF1E7B">
      <w:pPr>
        <w:rPr>
          <w:lang w:val="sq-AL"/>
        </w:rPr>
      </w:pPr>
    </w:p>
    <w:p w14:paraId="2D18B82C" w14:textId="77777777" w:rsidR="007C50D1" w:rsidRPr="00EF1E7B" w:rsidRDefault="007C50D1" w:rsidP="00EF1E7B">
      <w:pPr>
        <w:jc w:val="both"/>
        <w:rPr>
          <w:lang w:val="sq-AL"/>
        </w:rPr>
      </w:pPr>
      <w:r w:rsidRPr="00EF1E7B">
        <w:rPr>
          <w:lang w:val="sq-AL"/>
        </w:rPr>
        <w:t>UNDP-ja do të nënshkruaj Memorandum Bashkëpunimi me secilën komunë /Qendër rajonale të përzgjedhur me të cilën do të përcaktohen të drejtat dhe obligimet e përbashkëta ndërmjet UNDP-së dhe komunës, edhe atë pasi që me proces furnizimi do të vërtetohet shuma e saktë e çdo marëveshjeje. Pas përpilimit të rang listës, UNDP-ja do të implementojë procedurë prokurimi të shërbimeve të kërkuara dhe kontratat do të jepen për mjetet maksimale të disponueshme për këtë Thirrje për propozime.</w:t>
      </w:r>
    </w:p>
    <w:p w14:paraId="285E4C73" w14:textId="77777777" w:rsidR="007C50D1" w:rsidRPr="00EF1E7B" w:rsidRDefault="007C50D1" w:rsidP="00EF1E7B">
      <w:pPr>
        <w:jc w:val="both"/>
        <w:rPr>
          <w:lang w:val="sq-AL"/>
        </w:rPr>
      </w:pPr>
      <w:r w:rsidRPr="00EF1E7B">
        <w:rPr>
          <w:lang w:val="sq-AL"/>
        </w:rPr>
        <w:lastRenderedPageBreak/>
        <w:t>Në rastet kur është i nevojshëm bashkëfinancimi, marrëveshjet e realizimit të harxhimeve me përfituesit do të duhet të nënshkruhen para se të lidhen marrëveshjet me kryerësit e shërbimeve.</w:t>
      </w:r>
    </w:p>
    <w:p w14:paraId="187807E6" w14:textId="5FB22264" w:rsidR="007C50D1" w:rsidRPr="00EF1E7B" w:rsidRDefault="007C50D1" w:rsidP="00EF1E7B">
      <w:pPr>
        <w:jc w:val="both"/>
        <w:rPr>
          <w:lang w:val="sq-AL"/>
        </w:rPr>
      </w:pPr>
      <w:r w:rsidRPr="00EF1E7B">
        <w:rPr>
          <w:lang w:val="sq-AL"/>
        </w:rPr>
        <w:t xml:space="preserve">Në rastet ku mjetet financiare jepen për projekte me të cilat kanë aplikuar më shumë se një komunë, do të nënshkruhen Memorandume </w:t>
      </w:r>
      <w:r w:rsidR="008331F6">
        <w:rPr>
          <w:lang w:val="sq-AL"/>
        </w:rPr>
        <w:t>b</w:t>
      </w:r>
      <w:r w:rsidRPr="00EF1E7B">
        <w:rPr>
          <w:lang w:val="sq-AL"/>
        </w:rPr>
        <w:t>ashkëpunimi me të gjitha komunat që marrin pjesë në partneritetin e tillë</w:t>
      </w:r>
    </w:p>
    <w:p w14:paraId="0D2F5BE7" w14:textId="0986782E" w:rsidR="007C50D1" w:rsidRPr="00EF1E7B" w:rsidRDefault="007C50D1" w:rsidP="007C50D1">
      <w:pPr>
        <w:rPr>
          <w:lang w:val="sq-AL"/>
        </w:rPr>
      </w:pPr>
      <w:r w:rsidRPr="00EF1E7B">
        <w:rPr>
          <w:lang w:val="sq-AL"/>
        </w:rPr>
        <w:t>Për projektet e aplikuara nga qendrat Rajonale, pavarësisht nga numri i komunave në territoret e të cilave janë planifikuar projektet, do të nënshkruhet vetëm një Marrëveshje e tillë, me qendrat Rajonale, duke përcaktuar se ata marrin përsipër të gjithë përgjegjësinë për veprime të mëtejshme në lidhje me dokumentacionin teknik në temë.</w:t>
      </w:r>
    </w:p>
    <w:p w14:paraId="5C2E87E7" w14:textId="77777777" w:rsidR="006D5EEF" w:rsidRPr="00EF1E7B" w:rsidRDefault="006D5EEF" w:rsidP="006D5EEF">
      <w:pPr>
        <w:rPr>
          <w:lang w:val="sq-AL"/>
        </w:rPr>
      </w:pPr>
    </w:p>
    <w:p w14:paraId="646AA25A" w14:textId="007AF55A" w:rsidR="007C50D1" w:rsidRPr="00EF1E7B" w:rsidRDefault="007C50D1" w:rsidP="00EF1E7B">
      <w:pPr>
        <w:jc w:val="both"/>
        <w:rPr>
          <w:b/>
          <w:lang w:val="sq-AL"/>
        </w:rPr>
      </w:pPr>
      <w:bookmarkStart w:id="23" w:name="_Toc20757687"/>
      <w:r w:rsidRPr="00EF1E7B">
        <w:rPr>
          <w:b/>
          <w:lang w:val="sq-AL"/>
        </w:rPr>
        <w:t xml:space="preserve">2.4.2. Implementimi: obligimet e aplikantëve, dorëzimi i raporteve, </w:t>
      </w:r>
      <w:bookmarkEnd w:id="23"/>
      <w:r w:rsidRPr="00EF1E7B">
        <w:rPr>
          <w:b/>
          <w:lang w:val="sq-AL"/>
        </w:rPr>
        <w:t>mbikqyrja</w:t>
      </w:r>
    </w:p>
    <w:p w14:paraId="69E34EA7" w14:textId="77777777" w:rsidR="007C50D1" w:rsidRPr="00EF1E7B" w:rsidRDefault="007C50D1" w:rsidP="00EF1E7B">
      <w:pPr>
        <w:jc w:val="both"/>
        <w:rPr>
          <w:b/>
          <w:lang w:val="sq-AL"/>
        </w:rPr>
      </w:pPr>
    </w:p>
    <w:p w14:paraId="504D5574" w14:textId="77777777" w:rsidR="007C50D1" w:rsidRPr="00EF1E7B" w:rsidRDefault="007C50D1" w:rsidP="00EF1E7B">
      <w:pPr>
        <w:jc w:val="both"/>
        <w:rPr>
          <w:lang w:val="sq-AL"/>
        </w:rPr>
      </w:pPr>
      <w:r w:rsidRPr="00EF1E7B">
        <w:rPr>
          <w:lang w:val="sq-AL"/>
        </w:rPr>
        <w:t>Çdo aplikant i sukseshëm patjetër të emërojë së paku një person të kualifikuar, si person kontakti për kryerësit e shërbimeve (inxhinjerët, arkitektët, e të ngjashëm) dhe për personelin e vëzhgimit nga UNDP-ja, si edhe për inxhinjerin e punësuar nga UNDP-ja si konsulent. Ky person duhet të jetë në gjendje të sigurojë informacione të patjetërsueshme, dokumentime dhe mbështetje tjetër të nevojshme për kryerësit e shërbimeve në kryerjen e detyrave të tyre.</w:t>
      </w:r>
    </w:p>
    <w:p w14:paraId="41D4157D" w14:textId="77777777" w:rsidR="007C50D1" w:rsidRPr="00EF1E7B" w:rsidRDefault="007C50D1" w:rsidP="007C50D1">
      <w:pPr>
        <w:jc w:val="both"/>
        <w:rPr>
          <w:lang w:val="sq-AL"/>
        </w:rPr>
      </w:pPr>
    </w:p>
    <w:p w14:paraId="004927CB" w14:textId="77777777" w:rsidR="007C50D1" w:rsidRPr="00EF1E7B" w:rsidRDefault="007C50D1" w:rsidP="00EF1E7B">
      <w:pPr>
        <w:jc w:val="both"/>
        <w:rPr>
          <w:lang w:val="sq-AL"/>
        </w:rPr>
      </w:pPr>
      <w:r w:rsidRPr="00EF1E7B">
        <w:rPr>
          <w:lang w:val="sq-AL"/>
        </w:rPr>
        <w:t>Personeli projektit i UNDP-së do të vëzhgojë tërë procesin, me ndihmën e inxhinjerit të UNDP-së.</w:t>
      </w:r>
    </w:p>
    <w:p w14:paraId="11883FE3" w14:textId="77777777" w:rsidR="007C50D1" w:rsidRPr="00EF1E7B" w:rsidRDefault="007C50D1" w:rsidP="007C50D1">
      <w:pPr>
        <w:jc w:val="both"/>
        <w:rPr>
          <w:lang w:val="sq-AL"/>
        </w:rPr>
      </w:pPr>
    </w:p>
    <w:p w14:paraId="3307903A" w14:textId="77777777" w:rsidR="007C50D1" w:rsidRPr="00EF1E7B" w:rsidRDefault="007C50D1" w:rsidP="00EF1E7B">
      <w:pPr>
        <w:jc w:val="both"/>
        <w:rPr>
          <w:lang w:val="sq-AL"/>
        </w:rPr>
      </w:pPr>
      <w:r w:rsidRPr="00EF1E7B">
        <w:rPr>
          <w:lang w:val="sq-AL"/>
        </w:rPr>
        <w:t>Në rastet kur do të vërtetohen shkelje serioze të kushteve të marrëveshjes (Marrëveshja e Ndarjes së Harxhimeve), UNDP-ja e ka të drejtën e shkëputjes së marrëveshjes dhe, nëse është e mundur, t’i rialokojë mjetet në projekt / aplikant tjetër.</w:t>
      </w:r>
    </w:p>
    <w:p w14:paraId="4434E215" w14:textId="77777777" w:rsidR="007C50D1" w:rsidRPr="00EF1E7B" w:rsidRDefault="007C50D1" w:rsidP="007C50D1">
      <w:pPr>
        <w:jc w:val="both"/>
        <w:rPr>
          <w:lang w:val="sq-AL"/>
        </w:rPr>
      </w:pPr>
    </w:p>
    <w:p w14:paraId="3BD229F4" w14:textId="77777777" w:rsidR="007C50D1" w:rsidRPr="00EF1E7B" w:rsidRDefault="007C50D1" w:rsidP="007C50D1">
      <w:pPr>
        <w:jc w:val="both"/>
        <w:rPr>
          <w:lang w:val="sq-AL"/>
        </w:rPr>
      </w:pPr>
      <w:r w:rsidRPr="00EF1E7B">
        <w:rPr>
          <w:lang w:val="sq-AL"/>
        </w:rPr>
        <w:t>Pas përfundimit të detyrave dhe dorëzimit të prodhimit final – paketa e dokumentimit teknik të projektit, transferi i mjeteve të prodhimit përfundimtar do të realizohet sipas procedurës standarde të UNDP-së.</w:t>
      </w:r>
    </w:p>
    <w:p w14:paraId="6F95F08E" w14:textId="59CF32F8" w:rsidR="006D5EEF" w:rsidRPr="00EF1E7B" w:rsidRDefault="006D5EEF" w:rsidP="00EF1E7B">
      <w:pPr>
        <w:jc w:val="both"/>
        <w:rPr>
          <w:lang w:val="sq-AL"/>
        </w:rPr>
      </w:pPr>
    </w:p>
    <w:sectPr w:rsidR="006D5EEF" w:rsidRPr="00EF1E7B" w:rsidSect="00EF1E7B">
      <w:headerReference w:type="default" r:id="rId13"/>
      <w:footerReference w:type="default" r:id="rId1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DCE9" w14:textId="77777777" w:rsidR="004D4F07" w:rsidRDefault="004D4F07">
      <w:pPr>
        <w:spacing w:line="240" w:lineRule="auto"/>
      </w:pPr>
      <w:r>
        <w:separator/>
      </w:r>
    </w:p>
  </w:endnote>
  <w:endnote w:type="continuationSeparator" w:id="0">
    <w:p w14:paraId="51230F46" w14:textId="77777777" w:rsidR="004D4F07" w:rsidRDefault="004D4F07">
      <w:pPr>
        <w:spacing w:line="240" w:lineRule="auto"/>
      </w:pPr>
      <w:r>
        <w:continuationSeparator/>
      </w:r>
    </w:p>
  </w:endnote>
  <w:endnote w:type="continuationNotice" w:id="1">
    <w:p w14:paraId="32601BDE" w14:textId="77777777" w:rsidR="004D4F07" w:rsidRDefault="004D4F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4041"/>
      <w:docPartObj>
        <w:docPartGallery w:val="Page Numbers (Bottom of Page)"/>
        <w:docPartUnique/>
      </w:docPartObj>
    </w:sdtPr>
    <w:sdtEndPr>
      <w:rPr>
        <w:noProof/>
      </w:rPr>
    </w:sdtEndPr>
    <w:sdtContent>
      <w:p w14:paraId="0D8CB31F" w14:textId="56ED001C" w:rsidR="00121CAA" w:rsidRDefault="00121CAA">
        <w:pPr>
          <w:pStyle w:val="Footer"/>
          <w:jc w:val="right"/>
        </w:pPr>
        <w:r>
          <w:fldChar w:fldCharType="begin"/>
        </w:r>
        <w:r>
          <w:instrText xml:space="preserve"> PAGE   \* MERGEFORMAT </w:instrText>
        </w:r>
        <w:r>
          <w:fldChar w:fldCharType="separate"/>
        </w:r>
        <w:r w:rsidR="00065F9A">
          <w:rPr>
            <w:noProof/>
          </w:rPr>
          <w:t>11</w:t>
        </w:r>
        <w:r>
          <w:rPr>
            <w:noProof/>
          </w:rPr>
          <w:fldChar w:fldCharType="end"/>
        </w:r>
      </w:p>
    </w:sdtContent>
  </w:sdt>
  <w:p w14:paraId="69C058D8" w14:textId="77777777" w:rsidR="00121CAA" w:rsidRDefault="0012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BD46" w14:textId="77777777" w:rsidR="004D4F07" w:rsidRDefault="004D4F07">
      <w:pPr>
        <w:spacing w:line="240" w:lineRule="auto"/>
      </w:pPr>
      <w:r>
        <w:separator/>
      </w:r>
    </w:p>
  </w:footnote>
  <w:footnote w:type="continuationSeparator" w:id="0">
    <w:p w14:paraId="7A628A1A" w14:textId="77777777" w:rsidR="004D4F07" w:rsidRDefault="004D4F07">
      <w:pPr>
        <w:spacing w:line="240" w:lineRule="auto"/>
      </w:pPr>
      <w:r>
        <w:continuationSeparator/>
      </w:r>
    </w:p>
  </w:footnote>
  <w:footnote w:type="continuationNotice" w:id="1">
    <w:p w14:paraId="3DD250B6" w14:textId="77777777" w:rsidR="004D4F07" w:rsidRDefault="004D4F07">
      <w:pPr>
        <w:spacing w:line="240" w:lineRule="auto"/>
      </w:pPr>
    </w:p>
  </w:footnote>
  <w:footnote w:id="2">
    <w:p w14:paraId="5145CC72" w14:textId="77777777" w:rsidR="00C0556B" w:rsidRDefault="00C0556B" w:rsidP="00C0556B">
      <w:r>
        <w:rPr>
          <w:rStyle w:val="FootnoteReference"/>
        </w:rPr>
        <w:footnoteRef/>
      </w:r>
      <w:r>
        <w:rPr>
          <w:sz w:val="18"/>
          <w:szCs w:val="18"/>
          <w:lang w:val="sq-AL"/>
        </w:rPr>
        <w:t>Programimi</w:t>
      </w:r>
      <w:r w:rsidRPr="009F6FAD">
        <w:rPr>
          <w:sz w:val="18"/>
          <w:szCs w:val="18"/>
        </w:rPr>
        <w:t>→</w:t>
      </w:r>
      <w:r>
        <w:rPr>
          <w:sz w:val="18"/>
          <w:szCs w:val="18"/>
          <w:lang w:val="sq-AL"/>
        </w:rPr>
        <w:t>Identifikimi</w:t>
      </w:r>
      <w:r w:rsidRPr="009F6FAD">
        <w:rPr>
          <w:sz w:val="18"/>
          <w:szCs w:val="18"/>
        </w:rPr>
        <w:t>→</w:t>
      </w:r>
      <w:r>
        <w:rPr>
          <w:sz w:val="18"/>
          <w:szCs w:val="18"/>
          <w:lang w:val="sq-AL"/>
        </w:rPr>
        <w:t>Formulimi</w:t>
      </w:r>
      <w:r w:rsidRPr="009F6FAD">
        <w:rPr>
          <w:sz w:val="18"/>
          <w:szCs w:val="18"/>
        </w:rPr>
        <w:t>→</w:t>
      </w:r>
      <w:r>
        <w:rPr>
          <w:sz w:val="18"/>
          <w:szCs w:val="18"/>
          <w:lang w:val="sq-AL"/>
        </w:rPr>
        <w:t>Financimi</w:t>
      </w:r>
      <w:r w:rsidRPr="009F6FAD">
        <w:rPr>
          <w:sz w:val="18"/>
          <w:szCs w:val="18"/>
        </w:rPr>
        <w:t>→</w:t>
      </w:r>
      <w:r>
        <w:rPr>
          <w:sz w:val="18"/>
          <w:szCs w:val="18"/>
          <w:lang w:val="sq-AL"/>
        </w:rPr>
        <w:t>Implementimi</w:t>
      </w:r>
      <w:r w:rsidRPr="009F6FAD">
        <w:rPr>
          <w:sz w:val="18"/>
          <w:szCs w:val="18"/>
        </w:rPr>
        <w:t>→</w:t>
      </w:r>
      <w:r>
        <w:rPr>
          <w:sz w:val="18"/>
          <w:szCs w:val="18"/>
          <w:lang w:val="sq-AL"/>
        </w:rPr>
        <w:t>Vlerësimi</w:t>
      </w:r>
      <w:r w:rsidRPr="009F6FAD">
        <w:rPr>
          <w:sz w:val="18"/>
          <w:szCs w:val="18"/>
        </w:rPr>
        <w:t>→ (</w:t>
      </w:r>
      <w:r>
        <w:rPr>
          <w:sz w:val="18"/>
          <w:szCs w:val="18"/>
          <w:lang w:val="sq-AL"/>
        </w:rPr>
        <w:t>në rreth</w:t>
      </w:r>
      <w:r w:rsidRPr="009F6FAD">
        <w:rPr>
          <w:sz w:val="18"/>
          <w:szCs w:val="18"/>
        </w:rPr>
        <w:t>)</w:t>
      </w:r>
    </w:p>
  </w:footnote>
  <w:footnote w:id="3">
    <w:p w14:paraId="3BBF241A" w14:textId="5B364518" w:rsidR="00121CAA" w:rsidRPr="00DA299E" w:rsidRDefault="00121CAA" w:rsidP="004E2A5D">
      <w:pPr>
        <w:pStyle w:val="FootnoteText"/>
        <w:jc w:val="both"/>
      </w:pPr>
      <w:r>
        <w:rPr>
          <w:rStyle w:val="FootnoteReference"/>
        </w:rPr>
        <w:footnoteRef/>
      </w:r>
      <w:r w:rsidR="00DA299E" w:rsidRPr="00DA299E">
        <w:rPr>
          <w:lang w:val="sq-AL"/>
        </w:rPr>
        <w:t>Rajonet e mëposhtme të</w:t>
      </w:r>
      <w:r w:rsidR="00DA299E">
        <w:rPr>
          <w:lang w:val="sq-AL"/>
        </w:rPr>
        <w:t xml:space="preserve"> planifikimit janë të kualifikueshme</w:t>
      </w:r>
      <w:r w:rsidR="00DA299E" w:rsidRPr="00DA299E">
        <w:rPr>
          <w:lang w:val="sq-AL"/>
        </w:rPr>
        <w:t xml:space="preserve">: Shkupi, Lindja, Jug-Lindja, Veri-Lindja, Pelagonija, </w:t>
      </w:r>
      <w:r w:rsidR="00DA299E">
        <w:rPr>
          <w:lang w:val="sq-AL"/>
        </w:rPr>
        <w:t>Vardari, Jug-Perëndimi dhe Pollogu</w:t>
      </w:r>
      <w:r>
        <w:rPr>
          <w:lang w:val="hr-HR"/>
        </w:rPr>
        <w:t>.</w:t>
      </w:r>
    </w:p>
  </w:footnote>
  <w:footnote w:id="4">
    <w:p w14:paraId="60F84026" w14:textId="544050EE" w:rsidR="00121CAA" w:rsidRPr="00794D76" w:rsidRDefault="00121CAA" w:rsidP="00794D76">
      <w:pPr>
        <w:pStyle w:val="FootnoteText"/>
        <w:jc w:val="both"/>
        <w:rPr>
          <w:lang w:val="hr-HR"/>
        </w:rPr>
      </w:pPr>
      <w:r>
        <w:rPr>
          <w:rStyle w:val="FootnoteReference"/>
        </w:rPr>
        <w:footnoteRef/>
      </w:r>
      <w:r w:rsidR="00DA299E" w:rsidRPr="00DA299E">
        <w:rPr>
          <w:lang w:val="sq-AL"/>
        </w:rPr>
        <w:t>Marrëveshja e partneritetit nuk është e domosdoshme kur partneri është një entitet publik në pronësi ose kontrollohet ndryshe nga komuna që paraqet kërkesën, pasi kjo lidhje partneriteti është e rregulluar tashmë me dokumente të tjera - statu</w:t>
      </w:r>
      <w:r w:rsidR="00DA299E">
        <w:rPr>
          <w:lang w:val="sq-AL"/>
        </w:rPr>
        <w:t>tet, dokumentet themeluese, etj</w:t>
      </w:r>
      <w:r>
        <w:rPr>
          <w:lang w:val="hr-HR"/>
        </w:rPr>
        <w:t>.</w:t>
      </w:r>
    </w:p>
  </w:footnote>
  <w:footnote w:id="5">
    <w:p w14:paraId="72CA4BBB" w14:textId="77777777" w:rsidR="00DA5B42" w:rsidRDefault="00DA5B42" w:rsidP="00DA5B42">
      <w:pPr>
        <w:pStyle w:val="FootnoteText"/>
      </w:pPr>
      <w:r>
        <w:rPr>
          <w:rStyle w:val="FootnoteReference"/>
        </w:rPr>
        <w:footnoteRef/>
      </w:r>
      <w:hyperlink r:id="rId1" w:history="1">
        <w:r w:rsidRPr="006B3E6F">
          <w:rPr>
            <w:rStyle w:val="Hyperlink"/>
          </w:rPr>
          <w:t>https://ec.europa.eu/docsroom/documents/15582/attachments/1/translations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0B67" w14:textId="0B8D483B" w:rsidR="00121CAA" w:rsidRPr="00EF1E7B" w:rsidRDefault="00121CAA" w:rsidP="00EF1E7B">
    <w:pPr>
      <w:pStyle w:val="Header"/>
      <w:tabs>
        <w:tab w:val="clear" w:pos="4536"/>
        <w:tab w:val="clear" w:pos="9072"/>
        <w:tab w:val="left" w:pos="3546"/>
      </w:tabs>
      <w:rPr>
        <w:b/>
        <w:sz w:val="28"/>
      </w:rPr>
    </w:pPr>
    <w:r>
      <w:rPr>
        <w:noProof/>
      </w:rPr>
      <w:drawing>
        <wp:anchor distT="0" distB="0" distL="114300" distR="114300" simplePos="0" relativeHeight="251658240" behindDoc="0" locked="0" layoutInCell="1" allowOverlap="1" wp14:anchorId="4714EFA3" wp14:editId="093A1D0E">
          <wp:simplePos x="0" y="0"/>
          <wp:positionH relativeFrom="column">
            <wp:posOffset>5558155</wp:posOffset>
          </wp:positionH>
          <wp:positionV relativeFrom="paragraph">
            <wp:posOffset>-97155</wp:posOffset>
          </wp:positionV>
          <wp:extent cx="428625" cy="876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98536B" wp14:editId="038A1391">
          <wp:extent cx="1416481"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74" cy="421006"/>
                  </a:xfrm>
                  <a:prstGeom prst="rect">
                    <a:avLst/>
                  </a:prstGeom>
                  <a:noFill/>
                  <a:ln>
                    <a:noFill/>
                  </a:ln>
                </pic:spPr>
              </pic:pic>
            </a:graphicData>
          </a:graphic>
        </wp:inline>
      </w:drawing>
    </w:r>
    <w:r>
      <w:tab/>
    </w:r>
    <w:r w:rsidRPr="00121CAA">
      <w:rPr>
        <w:b/>
        <w:sz w:val="28"/>
        <w:szCs w:val="28"/>
      </w:rPr>
      <w:t>2</w:t>
    </w:r>
    <w:r w:rsidRPr="00121CAA">
      <w:rPr>
        <w:b/>
        <w:sz w:val="28"/>
        <w:szCs w:val="28"/>
        <w:vertAlign w:val="superscript"/>
      </w:rPr>
      <w:t>nd</w:t>
    </w:r>
    <w:r w:rsidRPr="00121CAA">
      <w:rPr>
        <w:b/>
        <w:sz w:val="28"/>
        <w:szCs w:val="28"/>
      </w:rPr>
      <w:t xml:space="preserve"> Call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0AE"/>
    <w:multiLevelType w:val="multilevel"/>
    <w:tmpl w:val="7B32A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B5FD5"/>
    <w:multiLevelType w:val="hybridMultilevel"/>
    <w:tmpl w:val="981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295F"/>
    <w:multiLevelType w:val="hybridMultilevel"/>
    <w:tmpl w:val="C4BA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17EC8"/>
    <w:multiLevelType w:val="hybridMultilevel"/>
    <w:tmpl w:val="28E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5274B"/>
    <w:multiLevelType w:val="hybridMultilevel"/>
    <w:tmpl w:val="35C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83F36"/>
    <w:multiLevelType w:val="hybridMultilevel"/>
    <w:tmpl w:val="7D360F60"/>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F364C3"/>
    <w:multiLevelType w:val="hybridMultilevel"/>
    <w:tmpl w:val="AEA2FE14"/>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912091"/>
    <w:multiLevelType w:val="hybridMultilevel"/>
    <w:tmpl w:val="16865618"/>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1A264B"/>
    <w:multiLevelType w:val="hybridMultilevel"/>
    <w:tmpl w:val="8D4899BE"/>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12181B"/>
    <w:multiLevelType w:val="hybridMultilevel"/>
    <w:tmpl w:val="E92CCF2A"/>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1D2DAC"/>
    <w:multiLevelType w:val="hybridMultilevel"/>
    <w:tmpl w:val="D596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441DD"/>
    <w:multiLevelType w:val="hybridMultilevel"/>
    <w:tmpl w:val="E05A7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5F527C"/>
    <w:multiLevelType w:val="hybridMultilevel"/>
    <w:tmpl w:val="4DEA61C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895F62"/>
    <w:multiLevelType w:val="hybridMultilevel"/>
    <w:tmpl w:val="DB0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8215F"/>
    <w:multiLevelType w:val="hybridMultilevel"/>
    <w:tmpl w:val="CA0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7160"/>
    <w:multiLevelType w:val="hybridMultilevel"/>
    <w:tmpl w:val="B44E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21F15"/>
    <w:multiLevelType w:val="hybridMultilevel"/>
    <w:tmpl w:val="11FA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41473"/>
    <w:multiLevelType w:val="hybridMultilevel"/>
    <w:tmpl w:val="F614274A"/>
    <w:lvl w:ilvl="0" w:tplc="86BA2E8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86735B7"/>
    <w:multiLevelType w:val="hybridMultilevel"/>
    <w:tmpl w:val="E30A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2C12"/>
    <w:multiLevelType w:val="hybridMultilevel"/>
    <w:tmpl w:val="C00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B3F4D"/>
    <w:multiLevelType w:val="hybridMultilevel"/>
    <w:tmpl w:val="3CB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0A8C"/>
    <w:multiLevelType w:val="hybridMultilevel"/>
    <w:tmpl w:val="5470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613A"/>
    <w:multiLevelType w:val="hybridMultilevel"/>
    <w:tmpl w:val="3C9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22517"/>
    <w:multiLevelType w:val="hybridMultilevel"/>
    <w:tmpl w:val="599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C0D74"/>
    <w:multiLevelType w:val="hybridMultilevel"/>
    <w:tmpl w:val="B55C351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DA3AFE"/>
    <w:multiLevelType w:val="hybridMultilevel"/>
    <w:tmpl w:val="AB24112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491D66"/>
    <w:multiLevelType w:val="hybridMultilevel"/>
    <w:tmpl w:val="385223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681747"/>
    <w:multiLevelType w:val="hybridMultilevel"/>
    <w:tmpl w:val="4A7A9EF8"/>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6"/>
  </w:num>
  <w:num w:numId="5">
    <w:abstractNumId w:val="22"/>
  </w:num>
  <w:num w:numId="6">
    <w:abstractNumId w:val="3"/>
  </w:num>
  <w:num w:numId="7">
    <w:abstractNumId w:val="1"/>
  </w:num>
  <w:num w:numId="8">
    <w:abstractNumId w:val="20"/>
  </w:num>
  <w:num w:numId="9">
    <w:abstractNumId w:val="14"/>
  </w:num>
  <w:num w:numId="10">
    <w:abstractNumId w:val="19"/>
  </w:num>
  <w:num w:numId="11">
    <w:abstractNumId w:val="4"/>
  </w:num>
  <w:num w:numId="12">
    <w:abstractNumId w:val="13"/>
  </w:num>
  <w:num w:numId="13">
    <w:abstractNumId w:val="18"/>
  </w:num>
  <w:num w:numId="14">
    <w:abstractNumId w:val="23"/>
  </w:num>
  <w:num w:numId="15">
    <w:abstractNumId w:val="10"/>
  </w:num>
  <w:num w:numId="16">
    <w:abstractNumId w:val="2"/>
  </w:num>
  <w:num w:numId="17">
    <w:abstractNumId w:val="21"/>
  </w:num>
  <w:num w:numId="18">
    <w:abstractNumId w:val="20"/>
  </w:num>
  <w:num w:numId="19">
    <w:abstractNumId w:val="25"/>
  </w:num>
  <w:num w:numId="20">
    <w:abstractNumId w:val="8"/>
  </w:num>
  <w:num w:numId="21">
    <w:abstractNumId w:val="9"/>
  </w:num>
  <w:num w:numId="22">
    <w:abstractNumId w:val="7"/>
  </w:num>
  <w:num w:numId="23">
    <w:abstractNumId w:val="12"/>
  </w:num>
  <w:num w:numId="24">
    <w:abstractNumId w:val="24"/>
  </w:num>
  <w:num w:numId="25">
    <w:abstractNumId w:val="6"/>
  </w:num>
  <w:num w:numId="26">
    <w:abstractNumId w:val="5"/>
  </w:num>
  <w:num w:numId="27">
    <w:abstractNumId w:val="26"/>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CB"/>
    <w:rsid w:val="000007DC"/>
    <w:rsid w:val="000026A8"/>
    <w:rsid w:val="00004BBA"/>
    <w:rsid w:val="00005811"/>
    <w:rsid w:val="00006531"/>
    <w:rsid w:val="0001003F"/>
    <w:rsid w:val="000137C1"/>
    <w:rsid w:val="00020C5C"/>
    <w:rsid w:val="000230BC"/>
    <w:rsid w:val="00025F42"/>
    <w:rsid w:val="000300E6"/>
    <w:rsid w:val="000317E1"/>
    <w:rsid w:val="00033D1F"/>
    <w:rsid w:val="00035A2A"/>
    <w:rsid w:val="00041220"/>
    <w:rsid w:val="000469EA"/>
    <w:rsid w:val="00050BD9"/>
    <w:rsid w:val="00064137"/>
    <w:rsid w:val="00064410"/>
    <w:rsid w:val="00065F9A"/>
    <w:rsid w:val="00072370"/>
    <w:rsid w:val="00075170"/>
    <w:rsid w:val="0007750A"/>
    <w:rsid w:val="000842AE"/>
    <w:rsid w:val="00086067"/>
    <w:rsid w:val="0008703F"/>
    <w:rsid w:val="000909D0"/>
    <w:rsid w:val="00093A3C"/>
    <w:rsid w:val="000954AD"/>
    <w:rsid w:val="000A3CDF"/>
    <w:rsid w:val="000A4558"/>
    <w:rsid w:val="000A5FC7"/>
    <w:rsid w:val="000A6799"/>
    <w:rsid w:val="000A68E5"/>
    <w:rsid w:val="000B006F"/>
    <w:rsid w:val="000B265D"/>
    <w:rsid w:val="000C0191"/>
    <w:rsid w:val="000C593E"/>
    <w:rsid w:val="000D0139"/>
    <w:rsid w:val="000D3CF2"/>
    <w:rsid w:val="000E070B"/>
    <w:rsid w:val="000E7DC3"/>
    <w:rsid w:val="000F5F21"/>
    <w:rsid w:val="00106617"/>
    <w:rsid w:val="001068A0"/>
    <w:rsid w:val="0011258F"/>
    <w:rsid w:val="00121CAA"/>
    <w:rsid w:val="001243C0"/>
    <w:rsid w:val="0013294D"/>
    <w:rsid w:val="00132AEA"/>
    <w:rsid w:val="0013677F"/>
    <w:rsid w:val="00142990"/>
    <w:rsid w:val="00145126"/>
    <w:rsid w:val="001504B6"/>
    <w:rsid w:val="00152DFF"/>
    <w:rsid w:val="001623CB"/>
    <w:rsid w:val="00163B9B"/>
    <w:rsid w:val="0016460B"/>
    <w:rsid w:val="00182076"/>
    <w:rsid w:val="001827C7"/>
    <w:rsid w:val="0018465A"/>
    <w:rsid w:val="00186449"/>
    <w:rsid w:val="0019024B"/>
    <w:rsid w:val="00192772"/>
    <w:rsid w:val="001A08A5"/>
    <w:rsid w:val="001A15E0"/>
    <w:rsid w:val="001A29D5"/>
    <w:rsid w:val="001A6DDD"/>
    <w:rsid w:val="001B2406"/>
    <w:rsid w:val="001B6741"/>
    <w:rsid w:val="001C524D"/>
    <w:rsid w:val="001D4349"/>
    <w:rsid w:val="001E3649"/>
    <w:rsid w:val="001E4A1E"/>
    <w:rsid w:val="002021E3"/>
    <w:rsid w:val="00202411"/>
    <w:rsid w:val="00204487"/>
    <w:rsid w:val="0020508B"/>
    <w:rsid w:val="00210E76"/>
    <w:rsid w:val="002121DA"/>
    <w:rsid w:val="00220B87"/>
    <w:rsid w:val="0022131B"/>
    <w:rsid w:val="00222593"/>
    <w:rsid w:val="00226A83"/>
    <w:rsid w:val="00227B6D"/>
    <w:rsid w:val="00233D05"/>
    <w:rsid w:val="00236319"/>
    <w:rsid w:val="00236A39"/>
    <w:rsid w:val="00237C77"/>
    <w:rsid w:val="002414BC"/>
    <w:rsid w:val="002422B3"/>
    <w:rsid w:val="002436E5"/>
    <w:rsid w:val="00246526"/>
    <w:rsid w:val="00254D93"/>
    <w:rsid w:val="0026126E"/>
    <w:rsid w:val="002637E2"/>
    <w:rsid w:val="00271FF5"/>
    <w:rsid w:val="00274787"/>
    <w:rsid w:val="00274F9E"/>
    <w:rsid w:val="0028556A"/>
    <w:rsid w:val="002862A1"/>
    <w:rsid w:val="00296AF1"/>
    <w:rsid w:val="002975E8"/>
    <w:rsid w:val="002A7CAE"/>
    <w:rsid w:val="002B0FB1"/>
    <w:rsid w:val="002C37ED"/>
    <w:rsid w:val="002E0B5F"/>
    <w:rsid w:val="002E4366"/>
    <w:rsid w:val="002F26D2"/>
    <w:rsid w:val="002F7B75"/>
    <w:rsid w:val="003001F0"/>
    <w:rsid w:val="003102B9"/>
    <w:rsid w:val="003177A6"/>
    <w:rsid w:val="0032416A"/>
    <w:rsid w:val="003268A0"/>
    <w:rsid w:val="00327D17"/>
    <w:rsid w:val="00330900"/>
    <w:rsid w:val="00334660"/>
    <w:rsid w:val="00336B58"/>
    <w:rsid w:val="0034060F"/>
    <w:rsid w:val="00341C10"/>
    <w:rsid w:val="003469AA"/>
    <w:rsid w:val="003520F3"/>
    <w:rsid w:val="003543DE"/>
    <w:rsid w:val="0035498A"/>
    <w:rsid w:val="003723AE"/>
    <w:rsid w:val="003746CD"/>
    <w:rsid w:val="00374BCB"/>
    <w:rsid w:val="00376049"/>
    <w:rsid w:val="003760A5"/>
    <w:rsid w:val="00376C54"/>
    <w:rsid w:val="00377192"/>
    <w:rsid w:val="00381A1F"/>
    <w:rsid w:val="003842FB"/>
    <w:rsid w:val="00386449"/>
    <w:rsid w:val="00392EE2"/>
    <w:rsid w:val="00396AEA"/>
    <w:rsid w:val="003A281D"/>
    <w:rsid w:val="003A2B38"/>
    <w:rsid w:val="003A5720"/>
    <w:rsid w:val="003A5A2B"/>
    <w:rsid w:val="003A6FCB"/>
    <w:rsid w:val="003B7732"/>
    <w:rsid w:val="003C03D8"/>
    <w:rsid w:val="003D7850"/>
    <w:rsid w:val="003E3CE4"/>
    <w:rsid w:val="003E6181"/>
    <w:rsid w:val="003F235E"/>
    <w:rsid w:val="003F3B08"/>
    <w:rsid w:val="00401026"/>
    <w:rsid w:val="00402C11"/>
    <w:rsid w:val="0040777C"/>
    <w:rsid w:val="0041051E"/>
    <w:rsid w:val="00410CE8"/>
    <w:rsid w:val="00414814"/>
    <w:rsid w:val="00434E5C"/>
    <w:rsid w:val="0043575D"/>
    <w:rsid w:val="00436C87"/>
    <w:rsid w:val="00440218"/>
    <w:rsid w:val="00442609"/>
    <w:rsid w:val="0044635D"/>
    <w:rsid w:val="0044757D"/>
    <w:rsid w:val="00453635"/>
    <w:rsid w:val="004752B7"/>
    <w:rsid w:val="00475319"/>
    <w:rsid w:val="004874DF"/>
    <w:rsid w:val="004A1170"/>
    <w:rsid w:val="004A52D5"/>
    <w:rsid w:val="004A704B"/>
    <w:rsid w:val="004B0F72"/>
    <w:rsid w:val="004B1C7D"/>
    <w:rsid w:val="004B4AED"/>
    <w:rsid w:val="004C03B6"/>
    <w:rsid w:val="004C2630"/>
    <w:rsid w:val="004C3236"/>
    <w:rsid w:val="004C3A81"/>
    <w:rsid w:val="004C41F4"/>
    <w:rsid w:val="004C4ABB"/>
    <w:rsid w:val="004D0AE8"/>
    <w:rsid w:val="004D2926"/>
    <w:rsid w:val="004D496B"/>
    <w:rsid w:val="004D4F07"/>
    <w:rsid w:val="004E1EE1"/>
    <w:rsid w:val="004E2A5D"/>
    <w:rsid w:val="004E52C7"/>
    <w:rsid w:val="004F14A0"/>
    <w:rsid w:val="004F2229"/>
    <w:rsid w:val="004F3752"/>
    <w:rsid w:val="004F6AF7"/>
    <w:rsid w:val="004F733A"/>
    <w:rsid w:val="00506783"/>
    <w:rsid w:val="00517FC0"/>
    <w:rsid w:val="005208DF"/>
    <w:rsid w:val="00525657"/>
    <w:rsid w:val="005321B4"/>
    <w:rsid w:val="00533D29"/>
    <w:rsid w:val="00536425"/>
    <w:rsid w:val="0053747C"/>
    <w:rsid w:val="00542218"/>
    <w:rsid w:val="005439B8"/>
    <w:rsid w:val="00546BFA"/>
    <w:rsid w:val="00562B0E"/>
    <w:rsid w:val="00573050"/>
    <w:rsid w:val="0057553A"/>
    <w:rsid w:val="005757EC"/>
    <w:rsid w:val="00576C7D"/>
    <w:rsid w:val="00580F57"/>
    <w:rsid w:val="0058333F"/>
    <w:rsid w:val="00585BB0"/>
    <w:rsid w:val="00592577"/>
    <w:rsid w:val="00592693"/>
    <w:rsid w:val="00595470"/>
    <w:rsid w:val="005A454D"/>
    <w:rsid w:val="005A7341"/>
    <w:rsid w:val="005B21D0"/>
    <w:rsid w:val="005C0E59"/>
    <w:rsid w:val="005D1A05"/>
    <w:rsid w:val="005D1A52"/>
    <w:rsid w:val="005D2943"/>
    <w:rsid w:val="005D3527"/>
    <w:rsid w:val="005D467E"/>
    <w:rsid w:val="005E1BA6"/>
    <w:rsid w:val="005E7281"/>
    <w:rsid w:val="005F39BC"/>
    <w:rsid w:val="00601D32"/>
    <w:rsid w:val="0060346B"/>
    <w:rsid w:val="006040F0"/>
    <w:rsid w:val="00604FF3"/>
    <w:rsid w:val="00612C13"/>
    <w:rsid w:val="00613060"/>
    <w:rsid w:val="0061408F"/>
    <w:rsid w:val="00615EFA"/>
    <w:rsid w:val="006336A0"/>
    <w:rsid w:val="00633F4F"/>
    <w:rsid w:val="00642B3F"/>
    <w:rsid w:val="00643611"/>
    <w:rsid w:val="00651C3F"/>
    <w:rsid w:val="00666F3D"/>
    <w:rsid w:val="00675D86"/>
    <w:rsid w:val="00684C9F"/>
    <w:rsid w:val="0068668F"/>
    <w:rsid w:val="00690A4A"/>
    <w:rsid w:val="006970D3"/>
    <w:rsid w:val="00697CDB"/>
    <w:rsid w:val="006A31DC"/>
    <w:rsid w:val="006A4A1E"/>
    <w:rsid w:val="006B614F"/>
    <w:rsid w:val="006B7873"/>
    <w:rsid w:val="006C2752"/>
    <w:rsid w:val="006C3CD1"/>
    <w:rsid w:val="006C7440"/>
    <w:rsid w:val="006D1918"/>
    <w:rsid w:val="006D3753"/>
    <w:rsid w:val="006D3B99"/>
    <w:rsid w:val="006D5EEF"/>
    <w:rsid w:val="006D6017"/>
    <w:rsid w:val="006F2FB8"/>
    <w:rsid w:val="00701F7F"/>
    <w:rsid w:val="0072680C"/>
    <w:rsid w:val="00752A13"/>
    <w:rsid w:val="00752F4C"/>
    <w:rsid w:val="0075542B"/>
    <w:rsid w:val="00756C79"/>
    <w:rsid w:val="00757722"/>
    <w:rsid w:val="00762CB1"/>
    <w:rsid w:val="007704A6"/>
    <w:rsid w:val="00770D69"/>
    <w:rsid w:val="00771269"/>
    <w:rsid w:val="007760E5"/>
    <w:rsid w:val="00787B29"/>
    <w:rsid w:val="007927DE"/>
    <w:rsid w:val="00794D76"/>
    <w:rsid w:val="007A2A5F"/>
    <w:rsid w:val="007A31C7"/>
    <w:rsid w:val="007A7AB5"/>
    <w:rsid w:val="007B1B04"/>
    <w:rsid w:val="007B4420"/>
    <w:rsid w:val="007C1069"/>
    <w:rsid w:val="007C50D1"/>
    <w:rsid w:val="007C56D0"/>
    <w:rsid w:val="007C5CFB"/>
    <w:rsid w:val="007C600C"/>
    <w:rsid w:val="007C780D"/>
    <w:rsid w:val="007E447D"/>
    <w:rsid w:val="007E5206"/>
    <w:rsid w:val="007F112B"/>
    <w:rsid w:val="007F63CA"/>
    <w:rsid w:val="00802DAA"/>
    <w:rsid w:val="0081359D"/>
    <w:rsid w:val="0081531B"/>
    <w:rsid w:val="00821F2A"/>
    <w:rsid w:val="008331F6"/>
    <w:rsid w:val="00835FE2"/>
    <w:rsid w:val="00842066"/>
    <w:rsid w:val="00844946"/>
    <w:rsid w:val="00844F53"/>
    <w:rsid w:val="00845D90"/>
    <w:rsid w:val="00850B66"/>
    <w:rsid w:val="00852934"/>
    <w:rsid w:val="0085310F"/>
    <w:rsid w:val="00856187"/>
    <w:rsid w:val="008619F8"/>
    <w:rsid w:val="00862CC9"/>
    <w:rsid w:val="00865ED7"/>
    <w:rsid w:val="00880029"/>
    <w:rsid w:val="00891005"/>
    <w:rsid w:val="008A7C8B"/>
    <w:rsid w:val="008B42B5"/>
    <w:rsid w:val="008B5615"/>
    <w:rsid w:val="008C494B"/>
    <w:rsid w:val="008C64DE"/>
    <w:rsid w:val="008C6622"/>
    <w:rsid w:val="008D368F"/>
    <w:rsid w:val="008D6174"/>
    <w:rsid w:val="008E01F6"/>
    <w:rsid w:val="008E53EE"/>
    <w:rsid w:val="008E6801"/>
    <w:rsid w:val="008E6ED5"/>
    <w:rsid w:val="008F0FE8"/>
    <w:rsid w:val="008F24AB"/>
    <w:rsid w:val="008F5109"/>
    <w:rsid w:val="00914A78"/>
    <w:rsid w:val="00914DD8"/>
    <w:rsid w:val="00917A25"/>
    <w:rsid w:val="0092143A"/>
    <w:rsid w:val="0092155C"/>
    <w:rsid w:val="0093635A"/>
    <w:rsid w:val="00937ADB"/>
    <w:rsid w:val="009463C1"/>
    <w:rsid w:val="009474CF"/>
    <w:rsid w:val="009526C6"/>
    <w:rsid w:val="00952B86"/>
    <w:rsid w:val="00956BF0"/>
    <w:rsid w:val="00960703"/>
    <w:rsid w:val="00961431"/>
    <w:rsid w:val="0098245D"/>
    <w:rsid w:val="00991D88"/>
    <w:rsid w:val="009976E2"/>
    <w:rsid w:val="009A1C21"/>
    <w:rsid w:val="009A2D76"/>
    <w:rsid w:val="009B103E"/>
    <w:rsid w:val="009B3096"/>
    <w:rsid w:val="009B3A32"/>
    <w:rsid w:val="009C3478"/>
    <w:rsid w:val="009E614C"/>
    <w:rsid w:val="009E752D"/>
    <w:rsid w:val="009F1164"/>
    <w:rsid w:val="009F20ED"/>
    <w:rsid w:val="009F63F6"/>
    <w:rsid w:val="009F693A"/>
    <w:rsid w:val="00A045B9"/>
    <w:rsid w:val="00A07EDD"/>
    <w:rsid w:val="00A11653"/>
    <w:rsid w:val="00A13079"/>
    <w:rsid w:val="00A205BC"/>
    <w:rsid w:val="00A25101"/>
    <w:rsid w:val="00A316AB"/>
    <w:rsid w:val="00A33097"/>
    <w:rsid w:val="00A405A9"/>
    <w:rsid w:val="00A448AB"/>
    <w:rsid w:val="00A45B9C"/>
    <w:rsid w:val="00A467D1"/>
    <w:rsid w:val="00A47324"/>
    <w:rsid w:val="00A47596"/>
    <w:rsid w:val="00A63A4F"/>
    <w:rsid w:val="00A65F4A"/>
    <w:rsid w:val="00A70140"/>
    <w:rsid w:val="00A70A1D"/>
    <w:rsid w:val="00A73419"/>
    <w:rsid w:val="00A759DC"/>
    <w:rsid w:val="00A76C67"/>
    <w:rsid w:val="00A86C17"/>
    <w:rsid w:val="00A928E0"/>
    <w:rsid w:val="00A93B13"/>
    <w:rsid w:val="00A949DC"/>
    <w:rsid w:val="00AA3704"/>
    <w:rsid w:val="00AA4206"/>
    <w:rsid w:val="00AB1AF6"/>
    <w:rsid w:val="00AB6709"/>
    <w:rsid w:val="00AC3008"/>
    <w:rsid w:val="00AC5A0D"/>
    <w:rsid w:val="00AC618B"/>
    <w:rsid w:val="00AC64EA"/>
    <w:rsid w:val="00AC766C"/>
    <w:rsid w:val="00AD5B87"/>
    <w:rsid w:val="00AD7209"/>
    <w:rsid w:val="00AE1ED7"/>
    <w:rsid w:val="00AE2C7B"/>
    <w:rsid w:val="00AF3743"/>
    <w:rsid w:val="00AF5C53"/>
    <w:rsid w:val="00AF7BD8"/>
    <w:rsid w:val="00B0285E"/>
    <w:rsid w:val="00B05F51"/>
    <w:rsid w:val="00B05FE5"/>
    <w:rsid w:val="00B15B78"/>
    <w:rsid w:val="00B206E8"/>
    <w:rsid w:val="00B20ACF"/>
    <w:rsid w:val="00B212C4"/>
    <w:rsid w:val="00B25300"/>
    <w:rsid w:val="00B31D99"/>
    <w:rsid w:val="00B501C3"/>
    <w:rsid w:val="00B60ECE"/>
    <w:rsid w:val="00B6144F"/>
    <w:rsid w:val="00B65D12"/>
    <w:rsid w:val="00B72416"/>
    <w:rsid w:val="00B73BC2"/>
    <w:rsid w:val="00B7430E"/>
    <w:rsid w:val="00BA678F"/>
    <w:rsid w:val="00BB4480"/>
    <w:rsid w:val="00BB454E"/>
    <w:rsid w:val="00BC27C8"/>
    <w:rsid w:val="00BC700E"/>
    <w:rsid w:val="00BE0E2D"/>
    <w:rsid w:val="00BE409E"/>
    <w:rsid w:val="00BE65BB"/>
    <w:rsid w:val="00BE7189"/>
    <w:rsid w:val="00BF2911"/>
    <w:rsid w:val="00BF4BF1"/>
    <w:rsid w:val="00C04D16"/>
    <w:rsid w:val="00C0556B"/>
    <w:rsid w:val="00C06829"/>
    <w:rsid w:val="00C409CE"/>
    <w:rsid w:val="00C453E4"/>
    <w:rsid w:val="00C45572"/>
    <w:rsid w:val="00C46D40"/>
    <w:rsid w:val="00C56501"/>
    <w:rsid w:val="00C644D9"/>
    <w:rsid w:val="00C66A30"/>
    <w:rsid w:val="00C6762D"/>
    <w:rsid w:val="00C75C9B"/>
    <w:rsid w:val="00C8146D"/>
    <w:rsid w:val="00C94B62"/>
    <w:rsid w:val="00CB3307"/>
    <w:rsid w:val="00CB471C"/>
    <w:rsid w:val="00CB7B89"/>
    <w:rsid w:val="00CC07EA"/>
    <w:rsid w:val="00CD61F0"/>
    <w:rsid w:val="00CE0EC9"/>
    <w:rsid w:val="00CE3AD9"/>
    <w:rsid w:val="00CE7359"/>
    <w:rsid w:val="00CF1122"/>
    <w:rsid w:val="00CF20DC"/>
    <w:rsid w:val="00CF566A"/>
    <w:rsid w:val="00D0194E"/>
    <w:rsid w:val="00D053D4"/>
    <w:rsid w:val="00D07443"/>
    <w:rsid w:val="00D12EF4"/>
    <w:rsid w:val="00D16053"/>
    <w:rsid w:val="00D16F5D"/>
    <w:rsid w:val="00D1741E"/>
    <w:rsid w:val="00D23DA3"/>
    <w:rsid w:val="00D32BF2"/>
    <w:rsid w:val="00D34825"/>
    <w:rsid w:val="00D37117"/>
    <w:rsid w:val="00D37AC4"/>
    <w:rsid w:val="00D4522D"/>
    <w:rsid w:val="00D459F2"/>
    <w:rsid w:val="00D51F03"/>
    <w:rsid w:val="00D5662C"/>
    <w:rsid w:val="00D576C8"/>
    <w:rsid w:val="00D658D6"/>
    <w:rsid w:val="00D70B7C"/>
    <w:rsid w:val="00D86B2D"/>
    <w:rsid w:val="00D873B9"/>
    <w:rsid w:val="00D93FFA"/>
    <w:rsid w:val="00DA299E"/>
    <w:rsid w:val="00DA5B42"/>
    <w:rsid w:val="00DA6CF0"/>
    <w:rsid w:val="00DB0C77"/>
    <w:rsid w:val="00DB2F04"/>
    <w:rsid w:val="00DB3AC4"/>
    <w:rsid w:val="00DB4F8E"/>
    <w:rsid w:val="00DB5672"/>
    <w:rsid w:val="00DC4801"/>
    <w:rsid w:val="00DE564C"/>
    <w:rsid w:val="00DF2529"/>
    <w:rsid w:val="00DF7D5B"/>
    <w:rsid w:val="00E02F5D"/>
    <w:rsid w:val="00E05999"/>
    <w:rsid w:val="00E05FD5"/>
    <w:rsid w:val="00E10416"/>
    <w:rsid w:val="00E10B1F"/>
    <w:rsid w:val="00E1331B"/>
    <w:rsid w:val="00E17194"/>
    <w:rsid w:val="00E17829"/>
    <w:rsid w:val="00E2395D"/>
    <w:rsid w:val="00E24109"/>
    <w:rsid w:val="00E24956"/>
    <w:rsid w:val="00E25213"/>
    <w:rsid w:val="00E313F1"/>
    <w:rsid w:val="00E33166"/>
    <w:rsid w:val="00E332FB"/>
    <w:rsid w:val="00E3370A"/>
    <w:rsid w:val="00E42664"/>
    <w:rsid w:val="00E50FA2"/>
    <w:rsid w:val="00E56607"/>
    <w:rsid w:val="00E62A3F"/>
    <w:rsid w:val="00E640BD"/>
    <w:rsid w:val="00E70BD3"/>
    <w:rsid w:val="00E71B26"/>
    <w:rsid w:val="00E71B57"/>
    <w:rsid w:val="00E77207"/>
    <w:rsid w:val="00E777FF"/>
    <w:rsid w:val="00E873A7"/>
    <w:rsid w:val="00E9321F"/>
    <w:rsid w:val="00E945F7"/>
    <w:rsid w:val="00EA217D"/>
    <w:rsid w:val="00EA44D7"/>
    <w:rsid w:val="00EB6B8D"/>
    <w:rsid w:val="00EB7486"/>
    <w:rsid w:val="00ED1645"/>
    <w:rsid w:val="00EE14DB"/>
    <w:rsid w:val="00EE5B40"/>
    <w:rsid w:val="00EE7086"/>
    <w:rsid w:val="00EE7C37"/>
    <w:rsid w:val="00EF1E7B"/>
    <w:rsid w:val="00EF308A"/>
    <w:rsid w:val="00F06EBE"/>
    <w:rsid w:val="00F103D8"/>
    <w:rsid w:val="00F12E91"/>
    <w:rsid w:val="00F16E9D"/>
    <w:rsid w:val="00F171B0"/>
    <w:rsid w:val="00F27100"/>
    <w:rsid w:val="00F3297D"/>
    <w:rsid w:val="00F35508"/>
    <w:rsid w:val="00F375C6"/>
    <w:rsid w:val="00F37E58"/>
    <w:rsid w:val="00F455B8"/>
    <w:rsid w:val="00F60269"/>
    <w:rsid w:val="00F71FCD"/>
    <w:rsid w:val="00F73585"/>
    <w:rsid w:val="00F852E0"/>
    <w:rsid w:val="00F953CF"/>
    <w:rsid w:val="00FA182F"/>
    <w:rsid w:val="00FA5E68"/>
    <w:rsid w:val="00FB2DC3"/>
    <w:rsid w:val="00FD1712"/>
    <w:rsid w:val="00FE7E3A"/>
    <w:rsid w:val="00FF1559"/>
    <w:rsid w:val="00FF3882"/>
    <w:rsid w:val="00FF4042"/>
    <w:rsid w:val="00FF4A7F"/>
    <w:rsid w:val="00FF5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D03A"/>
  <w15:docId w15:val="{DE63CAB4-130F-4E10-AD86-A43DB221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BCB"/>
    <w:rPr>
      <w:lang w:val="en-US"/>
    </w:rPr>
  </w:style>
  <w:style w:type="paragraph" w:styleId="Heading1">
    <w:name w:val="heading 1"/>
    <w:basedOn w:val="Normal"/>
    <w:next w:val="Normal"/>
    <w:link w:val="Heading1Char"/>
    <w:uiPriority w:val="9"/>
    <w:qFormat/>
    <w:rsid w:val="00FA5E68"/>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A5E68"/>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A5E68"/>
    <w:pPr>
      <w:keepNext/>
      <w:keepLines/>
      <w:spacing w:before="40"/>
      <w:outlineLvl w:val="2"/>
    </w:pPr>
    <w:rPr>
      <w:rFonts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CB"/>
    <w:pPr>
      <w:tabs>
        <w:tab w:val="center" w:pos="4536"/>
        <w:tab w:val="right" w:pos="9072"/>
      </w:tabs>
      <w:spacing w:line="240" w:lineRule="auto"/>
    </w:pPr>
  </w:style>
  <w:style w:type="character" w:customStyle="1" w:styleId="HeaderChar">
    <w:name w:val="Header Char"/>
    <w:basedOn w:val="DefaultParagraphFont"/>
    <w:link w:val="Header"/>
    <w:uiPriority w:val="99"/>
    <w:rsid w:val="00374BCB"/>
  </w:style>
  <w:style w:type="paragraph" w:styleId="Footer">
    <w:name w:val="footer"/>
    <w:basedOn w:val="Normal"/>
    <w:link w:val="FooterChar"/>
    <w:uiPriority w:val="99"/>
    <w:unhideWhenUsed/>
    <w:rsid w:val="00374BCB"/>
    <w:pPr>
      <w:tabs>
        <w:tab w:val="center" w:pos="4536"/>
        <w:tab w:val="right" w:pos="9072"/>
      </w:tabs>
      <w:spacing w:line="240" w:lineRule="auto"/>
    </w:pPr>
  </w:style>
  <w:style w:type="character" w:customStyle="1" w:styleId="FooterChar">
    <w:name w:val="Footer Char"/>
    <w:basedOn w:val="DefaultParagraphFont"/>
    <w:link w:val="Footer"/>
    <w:uiPriority w:val="99"/>
    <w:rsid w:val="00374BCB"/>
  </w:style>
  <w:style w:type="character" w:styleId="CommentReference">
    <w:name w:val="annotation reference"/>
    <w:basedOn w:val="DefaultParagraphFont"/>
    <w:uiPriority w:val="99"/>
    <w:semiHidden/>
    <w:unhideWhenUsed/>
    <w:rsid w:val="00917A25"/>
    <w:rPr>
      <w:sz w:val="16"/>
      <w:szCs w:val="16"/>
    </w:rPr>
  </w:style>
  <w:style w:type="paragraph" w:styleId="CommentText">
    <w:name w:val="annotation text"/>
    <w:basedOn w:val="Normal"/>
    <w:link w:val="CommentTextChar"/>
    <w:uiPriority w:val="99"/>
    <w:semiHidden/>
    <w:unhideWhenUsed/>
    <w:rsid w:val="00917A25"/>
    <w:pPr>
      <w:spacing w:line="240" w:lineRule="auto"/>
    </w:pPr>
    <w:rPr>
      <w:sz w:val="20"/>
      <w:szCs w:val="20"/>
    </w:rPr>
  </w:style>
  <w:style w:type="character" w:customStyle="1" w:styleId="CommentTextChar">
    <w:name w:val="Comment Text Char"/>
    <w:basedOn w:val="DefaultParagraphFont"/>
    <w:link w:val="CommentText"/>
    <w:uiPriority w:val="99"/>
    <w:semiHidden/>
    <w:rsid w:val="00917A25"/>
    <w:rPr>
      <w:sz w:val="20"/>
      <w:szCs w:val="20"/>
    </w:rPr>
  </w:style>
  <w:style w:type="paragraph" w:styleId="CommentSubject">
    <w:name w:val="annotation subject"/>
    <w:basedOn w:val="CommentText"/>
    <w:next w:val="CommentText"/>
    <w:link w:val="CommentSubjectChar"/>
    <w:uiPriority w:val="99"/>
    <w:semiHidden/>
    <w:unhideWhenUsed/>
    <w:rsid w:val="00917A25"/>
    <w:rPr>
      <w:b/>
      <w:bCs/>
    </w:rPr>
  </w:style>
  <w:style w:type="character" w:customStyle="1" w:styleId="CommentSubjectChar">
    <w:name w:val="Comment Subject Char"/>
    <w:basedOn w:val="CommentTextChar"/>
    <w:link w:val="CommentSubject"/>
    <w:uiPriority w:val="99"/>
    <w:semiHidden/>
    <w:rsid w:val="00917A25"/>
    <w:rPr>
      <w:b/>
      <w:bCs/>
      <w:sz w:val="20"/>
      <w:szCs w:val="20"/>
    </w:rPr>
  </w:style>
  <w:style w:type="paragraph" w:styleId="BalloonText">
    <w:name w:val="Balloon Text"/>
    <w:basedOn w:val="Normal"/>
    <w:link w:val="BalloonTextChar"/>
    <w:uiPriority w:val="99"/>
    <w:semiHidden/>
    <w:unhideWhenUsed/>
    <w:rsid w:val="00917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25"/>
    <w:rPr>
      <w:rFonts w:ascii="Segoe UI" w:hAnsi="Segoe UI" w:cs="Segoe UI"/>
      <w:sz w:val="18"/>
      <w:szCs w:val="18"/>
    </w:rPr>
  </w:style>
  <w:style w:type="character" w:styleId="FootnoteReference">
    <w:name w:val="footnote reference"/>
    <w:basedOn w:val="DefaultParagraphFont"/>
    <w:uiPriority w:val="99"/>
    <w:semiHidden/>
    <w:unhideWhenUsed/>
    <w:rsid w:val="00917A25"/>
    <w:rPr>
      <w:vertAlign w:val="superscript"/>
    </w:rPr>
  </w:style>
  <w:style w:type="paragraph" w:styleId="ListParagraph">
    <w:name w:val="List Paragraph"/>
    <w:basedOn w:val="Normal"/>
    <w:uiPriority w:val="34"/>
    <w:qFormat/>
    <w:rsid w:val="00237C77"/>
    <w:pPr>
      <w:ind w:left="720"/>
      <w:contextualSpacing/>
    </w:pPr>
  </w:style>
  <w:style w:type="paragraph" w:styleId="FootnoteText">
    <w:name w:val="footnote text"/>
    <w:basedOn w:val="Normal"/>
    <w:link w:val="FootnoteTextChar"/>
    <w:uiPriority w:val="99"/>
    <w:semiHidden/>
    <w:unhideWhenUsed/>
    <w:rsid w:val="00A93B13"/>
    <w:pPr>
      <w:spacing w:line="240" w:lineRule="auto"/>
    </w:pPr>
    <w:rPr>
      <w:sz w:val="20"/>
      <w:szCs w:val="20"/>
    </w:rPr>
  </w:style>
  <w:style w:type="character" w:customStyle="1" w:styleId="FootnoteTextChar">
    <w:name w:val="Footnote Text Char"/>
    <w:basedOn w:val="DefaultParagraphFont"/>
    <w:link w:val="FootnoteText"/>
    <w:uiPriority w:val="99"/>
    <w:semiHidden/>
    <w:rsid w:val="00A93B13"/>
    <w:rPr>
      <w:sz w:val="20"/>
      <w:szCs w:val="20"/>
    </w:rPr>
  </w:style>
  <w:style w:type="character" w:styleId="Hyperlink">
    <w:name w:val="Hyperlink"/>
    <w:basedOn w:val="DefaultParagraphFont"/>
    <w:uiPriority w:val="99"/>
    <w:unhideWhenUsed/>
    <w:rsid w:val="004A704B"/>
    <w:rPr>
      <w:color w:val="0000FF" w:themeColor="hyperlink"/>
      <w:u w:val="single"/>
    </w:rPr>
  </w:style>
  <w:style w:type="table" w:styleId="TableGrid">
    <w:name w:val="Table Grid"/>
    <w:basedOn w:val="TableNormal"/>
    <w:uiPriority w:val="59"/>
    <w:rsid w:val="007554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C11"/>
    <w:pPr>
      <w:spacing w:line="240" w:lineRule="auto"/>
    </w:pPr>
    <w:rPr>
      <w:lang w:val="en-US"/>
    </w:rPr>
  </w:style>
  <w:style w:type="character" w:customStyle="1" w:styleId="UnresolvedMention1">
    <w:name w:val="Unresolved Mention1"/>
    <w:basedOn w:val="DefaultParagraphFont"/>
    <w:uiPriority w:val="99"/>
    <w:semiHidden/>
    <w:unhideWhenUsed/>
    <w:rsid w:val="00845D90"/>
    <w:rPr>
      <w:color w:val="605E5C"/>
      <w:shd w:val="clear" w:color="auto" w:fill="E1DFDD"/>
    </w:rPr>
  </w:style>
  <w:style w:type="character" w:customStyle="1" w:styleId="UnresolvedMention2">
    <w:name w:val="Unresolved Mention2"/>
    <w:basedOn w:val="DefaultParagraphFont"/>
    <w:uiPriority w:val="99"/>
    <w:semiHidden/>
    <w:unhideWhenUsed/>
    <w:rsid w:val="004E2A5D"/>
    <w:rPr>
      <w:color w:val="605E5C"/>
      <w:shd w:val="clear" w:color="auto" w:fill="E1DFDD"/>
    </w:rPr>
  </w:style>
  <w:style w:type="character" w:customStyle="1" w:styleId="Heading1Char">
    <w:name w:val="Heading 1 Char"/>
    <w:basedOn w:val="DefaultParagraphFont"/>
    <w:link w:val="Heading1"/>
    <w:uiPriority w:val="9"/>
    <w:rsid w:val="00FA5E68"/>
    <w:rPr>
      <w:rFonts w:eastAsiaTheme="majorEastAsia" w:cstheme="majorBidi"/>
      <w:b/>
      <w:color w:val="000000" w:themeColor="text1"/>
      <w:sz w:val="28"/>
      <w:szCs w:val="32"/>
      <w:lang w:val="en-US"/>
    </w:rPr>
  </w:style>
  <w:style w:type="character" w:customStyle="1" w:styleId="Heading2Char">
    <w:name w:val="Heading 2 Char"/>
    <w:basedOn w:val="DefaultParagraphFont"/>
    <w:link w:val="Heading2"/>
    <w:uiPriority w:val="9"/>
    <w:rsid w:val="00FA5E68"/>
    <w:rPr>
      <w:rFonts w:eastAsiaTheme="majorEastAsia" w:cstheme="majorBidi"/>
      <w:b/>
      <w:sz w:val="26"/>
      <w:szCs w:val="26"/>
      <w:lang w:val="en-US"/>
    </w:rPr>
  </w:style>
  <w:style w:type="character" w:customStyle="1" w:styleId="Heading3Char">
    <w:name w:val="Heading 3 Char"/>
    <w:basedOn w:val="DefaultParagraphFont"/>
    <w:link w:val="Heading3"/>
    <w:uiPriority w:val="9"/>
    <w:rsid w:val="00FA5E68"/>
    <w:rPr>
      <w:rFonts w:eastAsiaTheme="majorEastAsia" w:cstheme="majorBidi"/>
      <w:sz w:val="24"/>
      <w:szCs w:val="24"/>
      <w:u w:val="single"/>
      <w:lang w:val="en-US"/>
    </w:rPr>
  </w:style>
  <w:style w:type="paragraph" w:styleId="TOCHeading">
    <w:name w:val="TOC Heading"/>
    <w:basedOn w:val="Heading1"/>
    <w:next w:val="Normal"/>
    <w:uiPriority w:val="39"/>
    <w:unhideWhenUsed/>
    <w:qFormat/>
    <w:rsid w:val="00FA5E68"/>
    <w:pPr>
      <w:spacing w:line="259" w:lineRule="auto"/>
      <w:outlineLvl w:val="9"/>
    </w:pPr>
  </w:style>
  <w:style w:type="paragraph" w:styleId="TOC1">
    <w:name w:val="toc 1"/>
    <w:basedOn w:val="Normal"/>
    <w:next w:val="Normal"/>
    <w:autoRedefine/>
    <w:uiPriority w:val="39"/>
    <w:unhideWhenUsed/>
    <w:rsid w:val="00FA5E68"/>
    <w:pPr>
      <w:spacing w:after="100"/>
    </w:pPr>
  </w:style>
  <w:style w:type="paragraph" w:styleId="TOC2">
    <w:name w:val="toc 2"/>
    <w:basedOn w:val="Normal"/>
    <w:next w:val="Normal"/>
    <w:autoRedefine/>
    <w:uiPriority w:val="39"/>
    <w:unhideWhenUsed/>
    <w:rsid w:val="00FA5E68"/>
    <w:pPr>
      <w:spacing w:after="100"/>
      <w:ind w:left="220"/>
    </w:pPr>
  </w:style>
  <w:style w:type="paragraph" w:styleId="TOC3">
    <w:name w:val="toc 3"/>
    <w:basedOn w:val="Normal"/>
    <w:next w:val="Normal"/>
    <w:autoRedefine/>
    <w:uiPriority w:val="39"/>
    <w:unhideWhenUsed/>
    <w:rsid w:val="00FA5E68"/>
    <w:pPr>
      <w:spacing w:after="100"/>
      <w:ind w:left="440"/>
    </w:pPr>
  </w:style>
  <w:style w:type="paragraph" w:styleId="BodyText">
    <w:name w:val="Body Text"/>
    <w:basedOn w:val="Normal"/>
    <w:link w:val="BodyTextChar"/>
    <w:uiPriority w:val="99"/>
    <w:unhideWhenUsed/>
    <w:rsid w:val="00FA5E68"/>
    <w:pPr>
      <w:spacing w:line="280" w:lineRule="auto"/>
      <w:jc w:val="both"/>
    </w:pPr>
    <w:rPr>
      <w:lang w:val="mk-MK"/>
    </w:rPr>
  </w:style>
  <w:style w:type="character" w:customStyle="1" w:styleId="BodyTextChar">
    <w:name w:val="Body Text Char"/>
    <w:basedOn w:val="DefaultParagraphFont"/>
    <w:link w:val="BodyText"/>
    <w:uiPriority w:val="99"/>
    <w:rsid w:val="00FA5E68"/>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2753">
      <w:bodyDiv w:val="1"/>
      <w:marLeft w:val="0"/>
      <w:marRight w:val="0"/>
      <w:marTop w:val="0"/>
      <w:marBottom w:val="0"/>
      <w:divBdr>
        <w:top w:val="none" w:sz="0" w:space="0" w:color="auto"/>
        <w:left w:val="none" w:sz="0" w:space="0" w:color="auto"/>
        <w:bottom w:val="none" w:sz="0" w:space="0" w:color="auto"/>
        <w:right w:val="none" w:sz="0" w:space="0" w:color="auto"/>
      </w:divBdr>
      <w:divsChild>
        <w:div w:id="36010987">
          <w:marLeft w:val="0"/>
          <w:marRight w:val="0"/>
          <w:marTop w:val="0"/>
          <w:marBottom w:val="0"/>
          <w:divBdr>
            <w:top w:val="none" w:sz="0" w:space="0" w:color="auto"/>
            <w:left w:val="none" w:sz="0" w:space="0" w:color="auto"/>
            <w:bottom w:val="none" w:sz="0" w:space="0" w:color="auto"/>
            <w:right w:val="none" w:sz="0" w:space="0" w:color="auto"/>
          </w:divBdr>
          <w:divsChild>
            <w:div w:id="760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0135">
      <w:bodyDiv w:val="1"/>
      <w:marLeft w:val="0"/>
      <w:marRight w:val="0"/>
      <w:marTop w:val="0"/>
      <w:marBottom w:val="0"/>
      <w:divBdr>
        <w:top w:val="none" w:sz="0" w:space="0" w:color="auto"/>
        <w:left w:val="none" w:sz="0" w:space="0" w:color="auto"/>
        <w:bottom w:val="none" w:sz="0" w:space="0" w:color="auto"/>
        <w:right w:val="none" w:sz="0" w:space="0" w:color="auto"/>
      </w:divBdr>
    </w:div>
    <w:div w:id="365910162">
      <w:bodyDiv w:val="1"/>
      <w:marLeft w:val="0"/>
      <w:marRight w:val="0"/>
      <w:marTop w:val="0"/>
      <w:marBottom w:val="0"/>
      <w:divBdr>
        <w:top w:val="none" w:sz="0" w:space="0" w:color="auto"/>
        <w:left w:val="none" w:sz="0" w:space="0" w:color="auto"/>
        <w:bottom w:val="none" w:sz="0" w:space="0" w:color="auto"/>
        <w:right w:val="none" w:sz="0" w:space="0" w:color="auto"/>
      </w:divBdr>
      <w:divsChild>
        <w:div w:id="2122259729">
          <w:marLeft w:val="0"/>
          <w:marRight w:val="0"/>
          <w:marTop w:val="0"/>
          <w:marBottom w:val="0"/>
          <w:divBdr>
            <w:top w:val="none" w:sz="0" w:space="0" w:color="auto"/>
            <w:left w:val="none" w:sz="0" w:space="0" w:color="auto"/>
            <w:bottom w:val="none" w:sz="0" w:space="0" w:color="auto"/>
            <w:right w:val="none" w:sz="0" w:space="0" w:color="auto"/>
          </w:divBdr>
          <w:divsChild>
            <w:div w:id="5425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709">
      <w:bodyDiv w:val="1"/>
      <w:marLeft w:val="0"/>
      <w:marRight w:val="0"/>
      <w:marTop w:val="0"/>
      <w:marBottom w:val="0"/>
      <w:divBdr>
        <w:top w:val="none" w:sz="0" w:space="0" w:color="auto"/>
        <w:left w:val="none" w:sz="0" w:space="0" w:color="auto"/>
        <w:bottom w:val="none" w:sz="0" w:space="0" w:color="auto"/>
        <w:right w:val="none" w:sz="0" w:space="0" w:color="auto"/>
      </w:divBdr>
      <w:divsChild>
        <w:div w:id="1837530865">
          <w:marLeft w:val="0"/>
          <w:marRight w:val="0"/>
          <w:marTop w:val="0"/>
          <w:marBottom w:val="0"/>
          <w:divBdr>
            <w:top w:val="none" w:sz="0" w:space="0" w:color="auto"/>
            <w:left w:val="none" w:sz="0" w:space="0" w:color="auto"/>
            <w:bottom w:val="none" w:sz="0" w:space="0" w:color="auto"/>
            <w:right w:val="none" w:sz="0" w:space="0" w:color="auto"/>
          </w:divBdr>
          <w:divsChild>
            <w:div w:id="15599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4520">
      <w:bodyDiv w:val="1"/>
      <w:marLeft w:val="0"/>
      <w:marRight w:val="0"/>
      <w:marTop w:val="0"/>
      <w:marBottom w:val="0"/>
      <w:divBdr>
        <w:top w:val="none" w:sz="0" w:space="0" w:color="auto"/>
        <w:left w:val="none" w:sz="0" w:space="0" w:color="auto"/>
        <w:bottom w:val="none" w:sz="0" w:space="0" w:color="auto"/>
        <w:right w:val="none" w:sz="0" w:space="0" w:color="auto"/>
      </w:divBdr>
      <w:divsChild>
        <w:div w:id="192378205">
          <w:marLeft w:val="0"/>
          <w:marRight w:val="0"/>
          <w:marTop w:val="0"/>
          <w:marBottom w:val="0"/>
          <w:divBdr>
            <w:top w:val="none" w:sz="0" w:space="0" w:color="auto"/>
            <w:left w:val="none" w:sz="0" w:space="0" w:color="auto"/>
            <w:bottom w:val="none" w:sz="0" w:space="0" w:color="auto"/>
            <w:right w:val="none" w:sz="0" w:space="0" w:color="auto"/>
          </w:divBdr>
          <w:divsChild>
            <w:div w:id="14711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0522">
      <w:bodyDiv w:val="1"/>
      <w:marLeft w:val="0"/>
      <w:marRight w:val="0"/>
      <w:marTop w:val="0"/>
      <w:marBottom w:val="0"/>
      <w:divBdr>
        <w:top w:val="none" w:sz="0" w:space="0" w:color="auto"/>
        <w:left w:val="none" w:sz="0" w:space="0" w:color="auto"/>
        <w:bottom w:val="none" w:sz="0" w:space="0" w:color="auto"/>
        <w:right w:val="none" w:sz="0" w:space="0" w:color="auto"/>
      </w:divBdr>
      <w:divsChild>
        <w:div w:id="1806392527">
          <w:marLeft w:val="0"/>
          <w:marRight w:val="0"/>
          <w:marTop w:val="0"/>
          <w:marBottom w:val="0"/>
          <w:divBdr>
            <w:top w:val="none" w:sz="0" w:space="0" w:color="auto"/>
            <w:left w:val="none" w:sz="0" w:space="0" w:color="auto"/>
            <w:bottom w:val="none" w:sz="0" w:space="0" w:color="auto"/>
            <w:right w:val="none" w:sz="0" w:space="0" w:color="auto"/>
          </w:divBdr>
          <w:divsChild>
            <w:div w:id="1066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2604">
      <w:bodyDiv w:val="1"/>
      <w:marLeft w:val="0"/>
      <w:marRight w:val="0"/>
      <w:marTop w:val="0"/>
      <w:marBottom w:val="0"/>
      <w:divBdr>
        <w:top w:val="none" w:sz="0" w:space="0" w:color="auto"/>
        <w:left w:val="none" w:sz="0" w:space="0" w:color="auto"/>
        <w:bottom w:val="none" w:sz="0" w:space="0" w:color="auto"/>
        <w:right w:val="none" w:sz="0" w:space="0" w:color="auto"/>
      </w:divBdr>
      <w:divsChild>
        <w:div w:id="1253006754">
          <w:marLeft w:val="0"/>
          <w:marRight w:val="0"/>
          <w:marTop w:val="0"/>
          <w:marBottom w:val="0"/>
          <w:divBdr>
            <w:top w:val="none" w:sz="0" w:space="0" w:color="auto"/>
            <w:left w:val="none" w:sz="0" w:space="0" w:color="auto"/>
            <w:bottom w:val="none" w:sz="0" w:space="0" w:color="auto"/>
            <w:right w:val="none" w:sz="0" w:space="0" w:color="auto"/>
          </w:divBdr>
          <w:divsChild>
            <w:div w:id="469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8707">
      <w:bodyDiv w:val="1"/>
      <w:marLeft w:val="0"/>
      <w:marRight w:val="0"/>
      <w:marTop w:val="0"/>
      <w:marBottom w:val="0"/>
      <w:divBdr>
        <w:top w:val="none" w:sz="0" w:space="0" w:color="auto"/>
        <w:left w:val="none" w:sz="0" w:space="0" w:color="auto"/>
        <w:bottom w:val="none" w:sz="0" w:space="0" w:color="auto"/>
        <w:right w:val="none" w:sz="0" w:space="0" w:color="auto"/>
      </w:divBdr>
      <w:divsChild>
        <w:div w:id="2052221114">
          <w:marLeft w:val="0"/>
          <w:marRight w:val="0"/>
          <w:marTop w:val="0"/>
          <w:marBottom w:val="0"/>
          <w:divBdr>
            <w:top w:val="none" w:sz="0" w:space="0" w:color="auto"/>
            <w:left w:val="none" w:sz="0" w:space="0" w:color="auto"/>
            <w:bottom w:val="none" w:sz="0" w:space="0" w:color="auto"/>
            <w:right w:val="none" w:sz="0" w:space="0" w:color="auto"/>
          </w:divBdr>
          <w:divsChild>
            <w:div w:id="2896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260">
      <w:bodyDiv w:val="1"/>
      <w:marLeft w:val="0"/>
      <w:marRight w:val="0"/>
      <w:marTop w:val="0"/>
      <w:marBottom w:val="0"/>
      <w:divBdr>
        <w:top w:val="none" w:sz="0" w:space="0" w:color="auto"/>
        <w:left w:val="none" w:sz="0" w:space="0" w:color="auto"/>
        <w:bottom w:val="none" w:sz="0" w:space="0" w:color="auto"/>
        <w:right w:val="none" w:sz="0" w:space="0" w:color="auto"/>
      </w:divBdr>
      <w:divsChild>
        <w:div w:id="1206332502">
          <w:marLeft w:val="0"/>
          <w:marRight w:val="0"/>
          <w:marTop w:val="0"/>
          <w:marBottom w:val="0"/>
          <w:divBdr>
            <w:top w:val="none" w:sz="0" w:space="0" w:color="auto"/>
            <w:left w:val="none" w:sz="0" w:space="0" w:color="auto"/>
            <w:bottom w:val="none" w:sz="0" w:space="0" w:color="auto"/>
            <w:right w:val="none" w:sz="0" w:space="0" w:color="auto"/>
          </w:divBdr>
          <w:divsChild>
            <w:div w:id="1476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135">
      <w:bodyDiv w:val="1"/>
      <w:marLeft w:val="0"/>
      <w:marRight w:val="0"/>
      <w:marTop w:val="0"/>
      <w:marBottom w:val="0"/>
      <w:divBdr>
        <w:top w:val="none" w:sz="0" w:space="0" w:color="auto"/>
        <w:left w:val="none" w:sz="0" w:space="0" w:color="auto"/>
        <w:bottom w:val="none" w:sz="0" w:space="0" w:color="auto"/>
        <w:right w:val="none" w:sz="0" w:space="0" w:color="auto"/>
      </w:divBdr>
      <w:divsChild>
        <w:div w:id="1914272746">
          <w:marLeft w:val="0"/>
          <w:marRight w:val="0"/>
          <w:marTop w:val="0"/>
          <w:marBottom w:val="0"/>
          <w:divBdr>
            <w:top w:val="none" w:sz="0" w:space="0" w:color="auto"/>
            <w:left w:val="none" w:sz="0" w:space="0" w:color="auto"/>
            <w:bottom w:val="none" w:sz="0" w:space="0" w:color="auto"/>
            <w:right w:val="none" w:sz="0" w:space="0" w:color="auto"/>
          </w:divBdr>
          <w:divsChild>
            <w:div w:id="929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939">
      <w:bodyDiv w:val="1"/>
      <w:marLeft w:val="0"/>
      <w:marRight w:val="0"/>
      <w:marTop w:val="0"/>
      <w:marBottom w:val="0"/>
      <w:divBdr>
        <w:top w:val="none" w:sz="0" w:space="0" w:color="auto"/>
        <w:left w:val="none" w:sz="0" w:space="0" w:color="auto"/>
        <w:bottom w:val="none" w:sz="0" w:space="0" w:color="auto"/>
        <w:right w:val="none" w:sz="0" w:space="0" w:color="auto"/>
      </w:divBdr>
      <w:divsChild>
        <w:div w:id="1223173919">
          <w:marLeft w:val="0"/>
          <w:marRight w:val="0"/>
          <w:marTop w:val="0"/>
          <w:marBottom w:val="0"/>
          <w:divBdr>
            <w:top w:val="none" w:sz="0" w:space="0" w:color="auto"/>
            <w:left w:val="none" w:sz="0" w:space="0" w:color="auto"/>
            <w:bottom w:val="none" w:sz="0" w:space="0" w:color="auto"/>
            <w:right w:val="none" w:sz="0" w:space="0" w:color="auto"/>
          </w:divBdr>
          <w:divsChild>
            <w:div w:id="1362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4098">
      <w:bodyDiv w:val="1"/>
      <w:marLeft w:val="0"/>
      <w:marRight w:val="0"/>
      <w:marTop w:val="0"/>
      <w:marBottom w:val="0"/>
      <w:divBdr>
        <w:top w:val="none" w:sz="0" w:space="0" w:color="auto"/>
        <w:left w:val="none" w:sz="0" w:space="0" w:color="auto"/>
        <w:bottom w:val="none" w:sz="0" w:space="0" w:color="auto"/>
        <w:right w:val="none" w:sz="0" w:space="0" w:color="auto"/>
      </w:divBdr>
      <w:divsChild>
        <w:div w:id="55058864">
          <w:marLeft w:val="0"/>
          <w:marRight w:val="0"/>
          <w:marTop w:val="0"/>
          <w:marBottom w:val="0"/>
          <w:divBdr>
            <w:top w:val="none" w:sz="0" w:space="0" w:color="auto"/>
            <w:left w:val="none" w:sz="0" w:space="0" w:color="auto"/>
            <w:bottom w:val="none" w:sz="0" w:space="0" w:color="auto"/>
            <w:right w:val="none" w:sz="0" w:space="0" w:color="auto"/>
          </w:divBdr>
          <w:divsChild>
            <w:div w:id="14900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917">
      <w:bodyDiv w:val="1"/>
      <w:marLeft w:val="0"/>
      <w:marRight w:val="0"/>
      <w:marTop w:val="0"/>
      <w:marBottom w:val="0"/>
      <w:divBdr>
        <w:top w:val="none" w:sz="0" w:space="0" w:color="auto"/>
        <w:left w:val="none" w:sz="0" w:space="0" w:color="auto"/>
        <w:bottom w:val="none" w:sz="0" w:space="0" w:color="auto"/>
        <w:right w:val="none" w:sz="0" w:space="0" w:color="auto"/>
      </w:divBdr>
      <w:divsChild>
        <w:div w:id="166214820">
          <w:marLeft w:val="0"/>
          <w:marRight w:val="0"/>
          <w:marTop w:val="0"/>
          <w:marBottom w:val="0"/>
          <w:divBdr>
            <w:top w:val="none" w:sz="0" w:space="0" w:color="auto"/>
            <w:left w:val="none" w:sz="0" w:space="0" w:color="auto"/>
            <w:bottom w:val="none" w:sz="0" w:space="0" w:color="auto"/>
            <w:right w:val="none" w:sz="0" w:space="0" w:color="auto"/>
          </w:divBdr>
          <w:divsChild>
            <w:div w:id="6877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582/attachments/1/trans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D254850564824AA19271E845BBB3BA" ma:contentTypeVersion="13" ma:contentTypeDescription="Create a new document." ma:contentTypeScope="" ma:versionID="c955726053ebd83b0ba8abaf6d825c91">
  <xsd:schema xmlns:xsd="http://www.w3.org/2001/XMLSchema" xmlns:xs="http://www.w3.org/2001/XMLSchema" xmlns:p="http://schemas.microsoft.com/office/2006/metadata/properties" xmlns:ns3="8aa23731-093b-4ddb-b332-05780261e679" xmlns:ns4="c4216917-a9fa-4543-ba19-d8e06bbe6271" targetNamespace="http://schemas.microsoft.com/office/2006/metadata/properties" ma:root="true" ma:fieldsID="53c1f9c948fb45d8b30fd734246dd674" ns3:_="" ns4:_="">
    <xsd:import namespace="8aa23731-093b-4ddb-b332-05780261e679"/>
    <xsd:import namespace="c4216917-a9fa-4543-ba19-d8e06bbe6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3731-093b-4ddb-b332-05780261e6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16917-a9fa-4543-ba19-d8e06bbe627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FDD8-1A36-4FF7-9D70-F51950987B0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4216917-a9fa-4543-ba19-d8e06bbe6271"/>
    <ds:schemaRef ds:uri="http://purl.org/dc/elements/1.1/"/>
    <ds:schemaRef ds:uri="8aa23731-093b-4ddb-b332-05780261e679"/>
    <ds:schemaRef ds:uri="http://www.w3.org/XML/1998/namespace"/>
    <ds:schemaRef ds:uri="http://purl.org/dc/terms/"/>
  </ds:schemaRefs>
</ds:datastoreItem>
</file>

<file path=customXml/itemProps2.xml><?xml version="1.0" encoding="utf-8"?>
<ds:datastoreItem xmlns:ds="http://schemas.openxmlformats.org/officeDocument/2006/customXml" ds:itemID="{999B07CD-2FBB-4B39-8ED4-7915DB9BD715}">
  <ds:schemaRefs>
    <ds:schemaRef ds:uri="http://schemas.microsoft.com/sharepoint/v3/contenttype/forms"/>
  </ds:schemaRefs>
</ds:datastoreItem>
</file>

<file path=customXml/itemProps3.xml><?xml version="1.0" encoding="utf-8"?>
<ds:datastoreItem xmlns:ds="http://schemas.openxmlformats.org/officeDocument/2006/customXml" ds:itemID="{576DE13B-D348-4774-A31D-078BB0636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9D80A-1403-41E1-A48D-4A926C4FF278}">
  <ds:schemaRefs>
    <ds:schemaRef ds:uri="http://schemas.microsoft.com/sharepoint/v3/contenttype/forms"/>
  </ds:schemaRefs>
</ds:datastoreItem>
</file>

<file path=customXml/itemProps5.xml><?xml version="1.0" encoding="utf-8"?>
<ds:datastoreItem xmlns:ds="http://schemas.openxmlformats.org/officeDocument/2006/customXml" ds:itemID="{BD531A8B-9773-45DD-A032-833DEBF0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3731-093b-4ddb-b332-05780261e679"/>
    <ds:schemaRef ds:uri="c4216917-a9fa-4543-ba19-d8e06bbe6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125013-3884-4556-A796-B1256CD1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4440</Words>
  <Characters>25308</Characters>
  <Application>Microsoft Office Word</Application>
  <DocSecurity>4</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Kocmur</dc:creator>
  <cp:lastModifiedBy>Marijan Djima</cp:lastModifiedBy>
  <cp:revision>2</cp:revision>
  <cp:lastPrinted>2019-09-16T07:42:00Z</cp:lastPrinted>
  <dcterms:created xsi:type="dcterms:W3CDTF">2020-06-24T14:15:00Z</dcterms:created>
  <dcterms:modified xsi:type="dcterms:W3CDTF">2020-06-24T14:15:00Z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0x010100DFD254850564824AA19271E845BBB3BA</vt:lpwstr>
  </property>
</Properties>
</file>