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985F" w14:textId="2027D61A" w:rsidR="00374BCB" w:rsidRPr="00EE14DB" w:rsidRDefault="00374BCB" w:rsidP="00374BCB">
      <w:pPr>
        <w:jc w:val="both"/>
      </w:pPr>
    </w:p>
    <w:p w14:paraId="74AD47C1" w14:textId="3A143EAC" w:rsidR="00374BCB" w:rsidRPr="004C3A81" w:rsidRDefault="00374BCB" w:rsidP="00374BCB">
      <w:pPr>
        <w:jc w:val="center"/>
        <w:rPr>
          <w:sz w:val="24"/>
        </w:rPr>
      </w:pPr>
      <w:r w:rsidRPr="004C3A81">
        <w:rPr>
          <w:sz w:val="24"/>
        </w:rPr>
        <w:t>Project:</w:t>
      </w:r>
    </w:p>
    <w:p w14:paraId="36A6AFC0" w14:textId="77777777" w:rsidR="00374BCB" w:rsidRPr="004C3A81" w:rsidRDefault="00374BCB" w:rsidP="00374BCB">
      <w:pPr>
        <w:jc w:val="center"/>
        <w:rPr>
          <w:b/>
          <w:sz w:val="24"/>
        </w:rPr>
      </w:pPr>
      <w:r w:rsidRPr="004C3A81">
        <w:rPr>
          <w:b/>
          <w:sz w:val="24"/>
        </w:rPr>
        <w:t>Building municipal capacity for project implementation</w:t>
      </w:r>
    </w:p>
    <w:p w14:paraId="33B11D4F" w14:textId="77777777" w:rsidR="00374BCB" w:rsidRPr="004C3A81" w:rsidRDefault="00374BCB" w:rsidP="00374BCB">
      <w:pPr>
        <w:jc w:val="center"/>
        <w:rPr>
          <w:b/>
          <w:sz w:val="24"/>
          <w:u w:val="single"/>
        </w:rPr>
      </w:pPr>
    </w:p>
    <w:p w14:paraId="2CBE4142" w14:textId="77777777" w:rsidR="00374BCB" w:rsidRPr="004C3A81" w:rsidRDefault="00374BCB" w:rsidP="00374BCB">
      <w:pPr>
        <w:jc w:val="center"/>
        <w:rPr>
          <w:b/>
          <w:sz w:val="24"/>
        </w:rPr>
      </w:pPr>
      <w:r w:rsidRPr="004C3A81">
        <w:rPr>
          <w:b/>
          <w:sz w:val="24"/>
        </w:rPr>
        <w:t xml:space="preserve">Call for proposals: </w:t>
      </w:r>
    </w:p>
    <w:p w14:paraId="19DA477D" w14:textId="23DD0892" w:rsidR="00374BCB" w:rsidRPr="004C3A81" w:rsidRDefault="00374BCB" w:rsidP="00374BCB">
      <w:pPr>
        <w:jc w:val="center"/>
        <w:rPr>
          <w:b/>
          <w:sz w:val="24"/>
          <w:u w:val="single"/>
        </w:rPr>
      </w:pPr>
      <w:r w:rsidRPr="004C3A81">
        <w:rPr>
          <w:b/>
          <w:sz w:val="24"/>
          <w:u w:val="single"/>
        </w:rPr>
        <w:t xml:space="preserve">Preparation of local development projects for financing from national and international development funds – </w:t>
      </w:r>
      <w:r w:rsidR="00862CC9" w:rsidRPr="005E7281">
        <w:rPr>
          <w:b/>
          <w:sz w:val="24"/>
          <w:szCs w:val="24"/>
          <w:u w:val="single"/>
        </w:rPr>
        <w:t>“</w:t>
      </w:r>
      <w:r w:rsidRPr="004C3A81">
        <w:rPr>
          <w:b/>
          <w:sz w:val="24"/>
          <w:u w:val="single"/>
        </w:rPr>
        <w:t>Technical documentation fund</w:t>
      </w:r>
      <w:r w:rsidR="00862CC9" w:rsidRPr="005E7281">
        <w:rPr>
          <w:b/>
          <w:sz w:val="24"/>
          <w:szCs w:val="24"/>
          <w:u w:val="single"/>
        </w:rPr>
        <w:t>”</w:t>
      </w:r>
    </w:p>
    <w:p w14:paraId="65F536F6" w14:textId="77777777" w:rsidR="00374BCB" w:rsidRPr="00EE14DB" w:rsidRDefault="00374BCB" w:rsidP="00374BCB"/>
    <w:p w14:paraId="3136CBD8" w14:textId="77777777" w:rsidR="005E7281" w:rsidRDefault="005E7281" w:rsidP="00374BCB">
      <w:pPr>
        <w:jc w:val="center"/>
        <w:rPr>
          <w:b/>
          <w:sz w:val="32"/>
          <w:szCs w:val="32"/>
        </w:rPr>
      </w:pPr>
    </w:p>
    <w:p w14:paraId="3C98106F" w14:textId="77777777" w:rsidR="005E7281" w:rsidRDefault="005E7281" w:rsidP="00374BCB">
      <w:pPr>
        <w:jc w:val="center"/>
        <w:rPr>
          <w:b/>
          <w:sz w:val="32"/>
          <w:szCs w:val="32"/>
        </w:rPr>
      </w:pPr>
    </w:p>
    <w:p w14:paraId="1B7723AB" w14:textId="77777777" w:rsidR="005E7281" w:rsidRDefault="005E7281" w:rsidP="00374BCB">
      <w:pPr>
        <w:jc w:val="center"/>
        <w:rPr>
          <w:b/>
          <w:sz w:val="32"/>
          <w:szCs w:val="32"/>
        </w:rPr>
      </w:pPr>
    </w:p>
    <w:p w14:paraId="4A368797" w14:textId="77777777" w:rsidR="005E7281" w:rsidRDefault="005E7281" w:rsidP="00374BCB">
      <w:pPr>
        <w:jc w:val="center"/>
        <w:rPr>
          <w:b/>
          <w:sz w:val="32"/>
          <w:szCs w:val="32"/>
        </w:rPr>
      </w:pPr>
    </w:p>
    <w:p w14:paraId="7C149EA6" w14:textId="77777777" w:rsidR="005E7281" w:rsidRPr="004C3A81" w:rsidRDefault="005E7281" w:rsidP="004C3A81">
      <w:pPr>
        <w:jc w:val="center"/>
        <w:rPr>
          <w:b/>
          <w:sz w:val="32"/>
        </w:rPr>
      </w:pPr>
    </w:p>
    <w:p w14:paraId="0B4A702F" w14:textId="28FC8F5D" w:rsidR="00374BCB" w:rsidRPr="004C3A81" w:rsidRDefault="00374BCB" w:rsidP="00374BCB">
      <w:pPr>
        <w:jc w:val="center"/>
        <w:rPr>
          <w:b/>
          <w:sz w:val="40"/>
        </w:rPr>
      </w:pPr>
      <w:r w:rsidRPr="004C3A81">
        <w:rPr>
          <w:b/>
          <w:sz w:val="40"/>
        </w:rPr>
        <w:t>Guidelines for applicants</w:t>
      </w:r>
    </w:p>
    <w:p w14:paraId="42A97D20" w14:textId="77777777" w:rsidR="00374BCB" w:rsidRPr="00EE14DB" w:rsidRDefault="00374BCB" w:rsidP="00374BCB">
      <w:pPr>
        <w:jc w:val="both"/>
      </w:pPr>
    </w:p>
    <w:p w14:paraId="53506F24" w14:textId="77777777" w:rsidR="00CE7359" w:rsidRPr="00EE14DB" w:rsidRDefault="00CE7359"/>
    <w:p w14:paraId="1EB95263" w14:textId="77777777" w:rsidR="005E7281" w:rsidRDefault="005E7281">
      <w:pPr>
        <w:rPr>
          <w:b/>
        </w:rPr>
      </w:pPr>
      <w:r>
        <w:rPr>
          <w:b/>
        </w:rPr>
        <w:br w:type="page"/>
      </w:r>
    </w:p>
    <w:p w14:paraId="13CB8465" w14:textId="3E174B87" w:rsidR="00756C79" w:rsidRPr="00EE14DB" w:rsidRDefault="00917A25">
      <w:pPr>
        <w:rPr>
          <w:b/>
        </w:rPr>
      </w:pPr>
      <w:r w:rsidRPr="00EE14DB">
        <w:rPr>
          <w:b/>
        </w:rPr>
        <w:lastRenderedPageBreak/>
        <w:t>1. „TECHNICAL DOCUMENTATION FUND” BASIC INFORMATION</w:t>
      </w:r>
    </w:p>
    <w:p w14:paraId="01A2DACE" w14:textId="77777777" w:rsidR="00756C79" w:rsidRPr="00EE14DB" w:rsidRDefault="00756C79"/>
    <w:p w14:paraId="5FB0C895" w14:textId="51920303" w:rsidR="00756C79" w:rsidRPr="00EE14DB" w:rsidRDefault="00756C79">
      <w:pPr>
        <w:rPr>
          <w:b/>
        </w:rPr>
      </w:pPr>
      <w:r w:rsidRPr="00EE14DB">
        <w:rPr>
          <w:b/>
        </w:rPr>
        <w:t xml:space="preserve">1.1. </w:t>
      </w:r>
      <w:r w:rsidR="00CF566A">
        <w:rPr>
          <w:b/>
        </w:rPr>
        <w:t>Background</w:t>
      </w:r>
    </w:p>
    <w:p w14:paraId="1C0BDB5E" w14:textId="77777777" w:rsidR="00917A25" w:rsidRPr="00EE14DB" w:rsidRDefault="00917A25"/>
    <w:p w14:paraId="19A538F0" w14:textId="5A323025" w:rsidR="00756C79" w:rsidRPr="00EE14DB" w:rsidRDefault="005439B8" w:rsidP="004C3A81">
      <w:pPr>
        <w:ind w:firstLine="708"/>
        <w:jc w:val="both"/>
      </w:pPr>
      <w:r>
        <w:t>In November 2018</w:t>
      </w:r>
      <w:r w:rsidR="00756C79" w:rsidRPr="00EE14DB">
        <w:t xml:space="preserve"> the UNDP and the Swedish international development agency (SIDA) have signed the Project document, marking the start of the implementation of the project „Building municipal capacity for project implementation</w:t>
      </w:r>
      <w:r w:rsidR="00CF566A">
        <w:t>”</w:t>
      </w:r>
      <w:r w:rsidR="00756C79" w:rsidRPr="00EE14DB">
        <w:t>. One of the three main objectives of this Project is to „design, establish and manage a technical documentation fund that would provide the financial resources that less-developed municipalities need to undertake necessary preparatory work (including urbanization plans) for development projects that are eligible for EU, state or donor funding, either through direct grants or low-interest loans.“. The Project is also expected to set-up a Municipal development index, a tool that will help the Government, the donors and other stakeholders in regional development policy to determine which are the less-developed municipalities according to the set of indicators</w:t>
      </w:r>
      <w:r w:rsidR="00917A25" w:rsidRPr="00EE14DB">
        <w:t>,</w:t>
      </w:r>
      <w:r w:rsidR="00756C79" w:rsidRPr="00EE14DB">
        <w:t xml:space="preserve"> based on statistical and other officially available data.</w:t>
      </w:r>
      <w:r w:rsidR="0028556A">
        <w:t xml:space="preserve"> </w:t>
      </w:r>
      <w:r w:rsidR="00845D90">
        <w:t>Gend</w:t>
      </w:r>
      <w:r w:rsidR="00845D90" w:rsidRPr="00845D90">
        <w:t xml:space="preserve">er mainstreaming will be effectively considered in all aspects of the implementation of the project </w:t>
      </w:r>
      <w:r w:rsidR="00845D90">
        <w:t>as well as</w:t>
      </w:r>
      <w:r w:rsidR="0028556A" w:rsidRPr="0028556A">
        <w:t xml:space="preserve"> </w:t>
      </w:r>
      <w:r w:rsidR="00845D90">
        <w:t xml:space="preserve">gender </w:t>
      </w:r>
      <w:r w:rsidR="0028556A" w:rsidRPr="0028556A">
        <w:t xml:space="preserve">disaggregated data </w:t>
      </w:r>
      <w:proofErr w:type="gramStart"/>
      <w:r w:rsidR="0028556A" w:rsidRPr="0028556A">
        <w:t>so as to</w:t>
      </w:r>
      <w:proofErr w:type="gramEnd"/>
      <w:r w:rsidR="0028556A" w:rsidRPr="0028556A">
        <w:t xml:space="preserve"> identify different needs and priorities for men and women</w:t>
      </w:r>
      <w:r w:rsidR="00330900">
        <w:t>.</w:t>
      </w:r>
    </w:p>
    <w:p w14:paraId="72860150" w14:textId="77777777" w:rsidR="004C2630" w:rsidRPr="00EE14DB" w:rsidRDefault="004C2630"/>
    <w:p w14:paraId="19ED47C3" w14:textId="77777777" w:rsidR="00917A25" w:rsidRPr="009A1C21" w:rsidRDefault="00917A25">
      <w:pPr>
        <w:rPr>
          <w:b/>
          <w:lang w:val="mk-MK"/>
        </w:rPr>
      </w:pPr>
      <w:r w:rsidRPr="00EE14DB">
        <w:rPr>
          <w:b/>
        </w:rPr>
        <w:t>1.2. Principles, objectives and priorities of the Fund</w:t>
      </w:r>
    </w:p>
    <w:p w14:paraId="3EE6B452" w14:textId="77777777" w:rsidR="00917A25" w:rsidRPr="00EE14DB" w:rsidRDefault="00917A25"/>
    <w:p w14:paraId="33A07546" w14:textId="685ED323" w:rsidR="00917A25" w:rsidRPr="00EE14DB" w:rsidRDefault="00917A25" w:rsidP="004C3A81">
      <w:pPr>
        <w:ind w:firstLine="708"/>
        <w:jc w:val="both"/>
      </w:pPr>
      <w:r w:rsidRPr="00EE14DB">
        <w:t>As identified in the above</w:t>
      </w:r>
      <w:r w:rsidR="00D51F03">
        <w:t>-</w:t>
      </w:r>
      <w:r w:rsidRPr="00EE14DB">
        <w:t xml:space="preserve">mentioned Project document, one of the biggest problems that the </w:t>
      </w:r>
      <w:r w:rsidR="0043575D">
        <w:t xml:space="preserve">municipalities of </w:t>
      </w:r>
      <w:r w:rsidRPr="00EE14DB">
        <w:t>North Macedonia face in a typical project cycle</w:t>
      </w:r>
      <w:r w:rsidRPr="00EE14DB">
        <w:rPr>
          <w:vertAlign w:val="superscript"/>
        </w:rPr>
        <w:footnoteReference w:id="2"/>
      </w:r>
      <w:r w:rsidRPr="00EE14DB">
        <w:t xml:space="preserve"> is at the “formulation” stage. This stage in a project cycle requires complex preparation of development projects in order to obtain financing, especially those projects that bring long-term benefits and impact (beyond the average political mandate). It also needs to </w:t>
      </w:r>
      <w:proofErr w:type="gramStart"/>
      <w:r w:rsidRPr="00EE14DB">
        <w:t>take into account</w:t>
      </w:r>
      <w:proofErr w:type="gramEnd"/>
      <w:r w:rsidRPr="00EE14DB">
        <w:t xml:space="preserve"> all other stages of the project cycle, </w:t>
      </w:r>
      <w:r w:rsidR="009F63F6" w:rsidRPr="00EE14DB">
        <w:t>and therefore stronger</w:t>
      </w:r>
      <w:r w:rsidRPr="00EE14DB">
        <w:t xml:space="preserve"> capacity to formulate good quality development projects contributes to increased capacity to cope with the complete project cycle(s). Project documents such as business plans, feasibility studies, environmental impact assessments, construction projects (</w:t>
      </w:r>
      <w:r w:rsidR="009F63F6" w:rsidRPr="00EE14DB">
        <w:t xml:space="preserve">all stages, </w:t>
      </w:r>
      <w:r w:rsidRPr="00EE14DB">
        <w:t>including multiple books: engineering, electricity, heating and plumbing</w:t>
      </w:r>
      <w:r w:rsidR="009F63F6" w:rsidRPr="00EE14DB">
        <w:t>, etc.</w:t>
      </w:r>
      <w:r w:rsidRPr="00EE14DB">
        <w:t xml:space="preserve">), architectural and urban/rural plans and planning studies, bills of quantities and the like employ significant resources. This means that </w:t>
      </w:r>
      <w:r w:rsidR="009F63F6" w:rsidRPr="00EE14DB">
        <w:t xml:space="preserve">stronger effort </w:t>
      </w:r>
      <w:r w:rsidRPr="00EE14DB">
        <w:t>at the formulation stage for credible development projects can trigger disproportionally greater positive development impact once they are implemented.</w:t>
      </w:r>
    </w:p>
    <w:p w14:paraId="2DBFBCD9" w14:textId="77777777" w:rsidR="00917A25" w:rsidRPr="00EE14DB" w:rsidRDefault="009F63F6" w:rsidP="00093A3C">
      <w:pPr>
        <w:jc w:val="both"/>
      </w:pPr>
      <w:r w:rsidRPr="00EE14DB">
        <w:t>T</w:t>
      </w:r>
      <w:r w:rsidR="00917A25" w:rsidRPr="00EE14DB">
        <w:t xml:space="preserve">he objective </w:t>
      </w:r>
      <w:r w:rsidRPr="00EE14DB">
        <w:t>of</w:t>
      </w:r>
      <w:r w:rsidR="00917A25" w:rsidRPr="00EE14DB">
        <w:t xml:space="preserve"> </w:t>
      </w:r>
      <w:r w:rsidRPr="00EE14DB">
        <w:t>the Technical Documentation Fund</w:t>
      </w:r>
      <w:r w:rsidR="00917A25" w:rsidRPr="00EE14DB">
        <w:t xml:space="preserve"> is to increase the municipalities' capacity to prepare basic and more complex (infrastructure) development projects that will be ready for funding from other sources. </w:t>
      </w:r>
    </w:p>
    <w:p w14:paraId="2FBC9013" w14:textId="77777777" w:rsidR="00917A25" w:rsidRPr="00EE14DB" w:rsidRDefault="009F63F6" w:rsidP="00093A3C">
      <w:pPr>
        <w:jc w:val="both"/>
      </w:pPr>
      <w:r w:rsidRPr="00EE14DB">
        <w:t xml:space="preserve">The specific </w:t>
      </w:r>
      <w:r w:rsidR="00917A25" w:rsidRPr="00EE14DB">
        <w:t>objec</w:t>
      </w:r>
      <w:r w:rsidRPr="00EE14DB">
        <w:t>tives of the Technical Documentation F</w:t>
      </w:r>
      <w:r w:rsidR="00917A25" w:rsidRPr="00EE14DB">
        <w:t>und are:</w:t>
      </w:r>
    </w:p>
    <w:p w14:paraId="6FEFE810" w14:textId="77777777" w:rsidR="00917A25" w:rsidRPr="00EE14DB" w:rsidRDefault="00917A25" w:rsidP="00093A3C">
      <w:pPr>
        <w:numPr>
          <w:ilvl w:val="0"/>
          <w:numId w:val="1"/>
        </w:numPr>
        <w:jc w:val="both"/>
      </w:pPr>
      <w:r w:rsidRPr="00EE14DB">
        <w:t>to strengthen municipal capacity to develop, finance and implement good quality local development projects;</w:t>
      </w:r>
    </w:p>
    <w:p w14:paraId="61A6B2BC" w14:textId="77777777" w:rsidR="00917A25" w:rsidRPr="00EE14DB" w:rsidRDefault="00917A25" w:rsidP="00093A3C">
      <w:pPr>
        <w:numPr>
          <w:ilvl w:val="0"/>
          <w:numId w:val="1"/>
        </w:numPr>
        <w:jc w:val="both"/>
      </w:pPr>
      <w:r w:rsidRPr="00EE14DB">
        <w:t>to provide immediate funding to those most in need for prep</w:t>
      </w:r>
      <w:r w:rsidR="009F63F6" w:rsidRPr="00EE14DB">
        <w:t>a</w:t>
      </w:r>
      <w:r w:rsidRPr="00EE14DB">
        <w:t>ration of development projects, in expectation of new funding lines for this purpose;</w:t>
      </w:r>
    </w:p>
    <w:p w14:paraId="5323B920" w14:textId="77777777" w:rsidR="00917A25" w:rsidRPr="00EE14DB" w:rsidRDefault="00917A25" w:rsidP="00093A3C">
      <w:pPr>
        <w:numPr>
          <w:ilvl w:val="0"/>
          <w:numId w:val="1"/>
        </w:numPr>
        <w:jc w:val="both"/>
      </w:pPr>
      <w:r w:rsidRPr="00EE14DB">
        <w:lastRenderedPageBreak/>
        <w:t>to promote Municipal development index and the SDGs and related indicators as the elements of planning and implementing balanced and sustainable regional and rural development policies and measures;</w:t>
      </w:r>
    </w:p>
    <w:p w14:paraId="1C81F0DF" w14:textId="316A2546" w:rsidR="00917A25" w:rsidRPr="00EE14DB" w:rsidRDefault="00917A25" w:rsidP="00093A3C">
      <w:pPr>
        <w:numPr>
          <w:ilvl w:val="0"/>
          <w:numId w:val="1"/>
        </w:numPr>
        <w:jc w:val="both"/>
      </w:pPr>
      <w:r w:rsidRPr="00EE14DB">
        <w:t>to further increase the quality of life</w:t>
      </w:r>
      <w:r w:rsidR="00AE1ED7">
        <w:t xml:space="preserve"> for both women and men</w:t>
      </w:r>
      <w:r w:rsidRPr="00EE14DB">
        <w:t>, primarily in the most underdeveloped municipalities and for the most vulnerable social groups.</w:t>
      </w:r>
    </w:p>
    <w:p w14:paraId="0AAD3DB4" w14:textId="77777777" w:rsidR="0019024B" w:rsidRPr="004C3A81" w:rsidRDefault="0019024B" w:rsidP="004C3A81">
      <w:pPr>
        <w:rPr>
          <w:b/>
        </w:rPr>
      </w:pPr>
    </w:p>
    <w:p w14:paraId="319AD623" w14:textId="49660085" w:rsidR="0019024B" w:rsidRPr="00EE14DB" w:rsidRDefault="0019024B" w:rsidP="0019024B">
      <w:pPr>
        <w:rPr>
          <w:b/>
        </w:rPr>
      </w:pPr>
      <w:r w:rsidRPr="00EE14DB">
        <w:rPr>
          <w:b/>
        </w:rPr>
        <w:t xml:space="preserve">1.3. </w:t>
      </w:r>
      <w:r>
        <w:rPr>
          <w:b/>
        </w:rPr>
        <w:t>Sustainable development goals</w:t>
      </w:r>
    </w:p>
    <w:p w14:paraId="642E6E0F" w14:textId="644BC380" w:rsidR="0019024B" w:rsidRPr="004846AC" w:rsidRDefault="0019024B" w:rsidP="0019024B">
      <w:pPr>
        <w:rPr>
          <w:b/>
        </w:rPr>
      </w:pPr>
    </w:p>
    <w:p w14:paraId="644122C5" w14:textId="42930E44" w:rsidR="0019024B" w:rsidRDefault="0019024B" w:rsidP="002B0FB1">
      <w:pPr>
        <w:ind w:firstLine="708"/>
        <w:jc w:val="both"/>
      </w:pPr>
      <w:r>
        <w:t xml:space="preserve">The SDGs and related indicators are used to determine </w:t>
      </w:r>
      <w:r w:rsidRPr="004846AC">
        <w:rPr>
          <w:u w:val="single"/>
        </w:rPr>
        <w:t>which types of projects and from which sectors should be considered to receive funding</w:t>
      </w:r>
      <w:r>
        <w:t xml:space="preserve"> for technical documentation. Indicators have been selected to respond to the overall Project objectives, and those against which the Republic of North Macedonia marks insufficient progress are marked with </w:t>
      </w:r>
      <w:r w:rsidRPr="00FF6F7F">
        <w:rPr>
          <w:b/>
        </w:rPr>
        <w:t>(!)</w:t>
      </w:r>
      <w:r>
        <w:t>:</w:t>
      </w:r>
    </w:p>
    <w:p w14:paraId="31DFB9EE" w14:textId="77777777" w:rsidR="0019024B" w:rsidRDefault="0019024B" w:rsidP="0019024B">
      <w:pPr>
        <w:spacing w:line="240" w:lineRule="auto"/>
      </w:pPr>
    </w:p>
    <w:p w14:paraId="6EECBB8C" w14:textId="77777777" w:rsidR="0019024B" w:rsidRPr="009F6FAD" w:rsidRDefault="0019024B" w:rsidP="0019024B">
      <w:pPr>
        <w:spacing w:line="240" w:lineRule="auto"/>
        <w:rPr>
          <w:u w:val="single"/>
        </w:rPr>
      </w:pPr>
      <w:r w:rsidRPr="009F6FAD">
        <w:rPr>
          <w:u w:val="single"/>
        </w:rPr>
        <w:t xml:space="preserve">SDG 11: Sustainable cities and communities </w:t>
      </w:r>
    </w:p>
    <w:p w14:paraId="0AE3CCC5" w14:textId="77777777" w:rsidR="0019024B" w:rsidRDefault="0019024B" w:rsidP="0019024B">
      <w:pPr>
        <w:spacing w:line="240" w:lineRule="auto"/>
      </w:pPr>
      <w:r>
        <w:t>Indicators:</w:t>
      </w:r>
    </w:p>
    <w:p w14:paraId="60334C0D" w14:textId="77777777" w:rsidR="0019024B" w:rsidRDefault="0019024B" w:rsidP="0019024B">
      <w:pPr>
        <w:pStyle w:val="ListParagraph"/>
        <w:numPr>
          <w:ilvl w:val="0"/>
          <w:numId w:val="19"/>
        </w:numPr>
        <w:spacing w:line="240" w:lineRule="auto"/>
        <w:ind w:left="426"/>
      </w:pPr>
      <w:r w:rsidRPr="00785869">
        <w:rPr>
          <w:b/>
        </w:rPr>
        <w:t>(!)</w:t>
      </w:r>
      <w:r>
        <w:rPr>
          <w:b/>
        </w:rPr>
        <w:t xml:space="preserve"> </w:t>
      </w:r>
      <w:r>
        <w:t>Annual mean concentration of particulate matter of less than 2.5 microns of diameter (</w:t>
      </w:r>
      <w:proofErr w:type="spellStart"/>
      <w:r>
        <w:t>μg</w:t>
      </w:r>
      <w:proofErr w:type="spellEnd"/>
      <w:r>
        <w:t xml:space="preserve">/m3)     </w:t>
      </w:r>
    </w:p>
    <w:p w14:paraId="2AF96830" w14:textId="77777777" w:rsidR="0019024B" w:rsidRDefault="0019024B" w:rsidP="0019024B">
      <w:pPr>
        <w:pStyle w:val="ListParagraph"/>
        <w:numPr>
          <w:ilvl w:val="0"/>
          <w:numId w:val="19"/>
        </w:numPr>
        <w:spacing w:line="240" w:lineRule="auto"/>
        <w:ind w:left="426"/>
      </w:pPr>
      <w:r>
        <w:t xml:space="preserve">Improved water source, piped (%) </w:t>
      </w:r>
    </w:p>
    <w:p w14:paraId="3D1ECEA2" w14:textId="77777777" w:rsidR="0019024B" w:rsidRDefault="0019024B" w:rsidP="0019024B">
      <w:pPr>
        <w:pStyle w:val="ListParagraph"/>
        <w:numPr>
          <w:ilvl w:val="0"/>
          <w:numId w:val="19"/>
        </w:numPr>
        <w:spacing w:line="240" w:lineRule="auto"/>
        <w:ind w:left="426"/>
      </w:pPr>
      <w:r w:rsidRPr="00785869">
        <w:rPr>
          <w:b/>
        </w:rPr>
        <w:t>(!)</w:t>
      </w:r>
      <w:r>
        <w:t xml:space="preserve"> Satisfaction with public transport (%)</w:t>
      </w:r>
    </w:p>
    <w:p w14:paraId="61E9E47B" w14:textId="77777777" w:rsidR="0019024B" w:rsidRDefault="0019024B" w:rsidP="0019024B">
      <w:pPr>
        <w:spacing w:line="240" w:lineRule="auto"/>
      </w:pPr>
    </w:p>
    <w:p w14:paraId="64EF3566" w14:textId="77777777" w:rsidR="0019024B" w:rsidRPr="009F6FAD" w:rsidRDefault="0019024B" w:rsidP="0019024B">
      <w:pPr>
        <w:spacing w:line="240" w:lineRule="auto"/>
        <w:rPr>
          <w:u w:val="single"/>
        </w:rPr>
      </w:pPr>
      <w:r w:rsidRPr="009F6FAD">
        <w:rPr>
          <w:u w:val="single"/>
        </w:rPr>
        <w:t xml:space="preserve">SDG 4: Quality education </w:t>
      </w:r>
    </w:p>
    <w:p w14:paraId="47E0676A" w14:textId="77777777" w:rsidR="0019024B" w:rsidRDefault="0019024B" w:rsidP="0019024B">
      <w:pPr>
        <w:spacing w:line="240" w:lineRule="auto"/>
      </w:pPr>
      <w:r>
        <w:t>Indicators:</w:t>
      </w:r>
    </w:p>
    <w:p w14:paraId="06EC33CA" w14:textId="77777777" w:rsidR="0019024B" w:rsidRDefault="0019024B" w:rsidP="0019024B">
      <w:pPr>
        <w:pStyle w:val="ListParagraph"/>
        <w:numPr>
          <w:ilvl w:val="0"/>
          <w:numId w:val="20"/>
        </w:numPr>
        <w:spacing w:line="240" w:lineRule="auto"/>
        <w:ind w:left="426"/>
      </w:pPr>
      <w:r w:rsidRPr="00785869">
        <w:rPr>
          <w:b/>
        </w:rPr>
        <w:t>(!)</w:t>
      </w:r>
      <w:r>
        <w:rPr>
          <w:b/>
        </w:rPr>
        <w:t xml:space="preserve"> </w:t>
      </w:r>
      <w:r>
        <w:t>Net primary school enrolment rate (%)</w:t>
      </w:r>
    </w:p>
    <w:p w14:paraId="2E8B7D8A" w14:textId="77777777" w:rsidR="0019024B" w:rsidRDefault="0019024B" w:rsidP="0019024B">
      <w:pPr>
        <w:pStyle w:val="ListParagraph"/>
        <w:numPr>
          <w:ilvl w:val="0"/>
          <w:numId w:val="20"/>
        </w:numPr>
        <w:spacing w:line="240" w:lineRule="auto"/>
        <w:ind w:left="426"/>
      </w:pPr>
      <w:r w:rsidRPr="00FF6F7F">
        <w:rPr>
          <w:b/>
        </w:rPr>
        <w:t>(!)</w:t>
      </w:r>
      <w:r>
        <w:t xml:space="preserve"> Lower secondary completion rate (%)</w:t>
      </w:r>
    </w:p>
    <w:p w14:paraId="385BD09B" w14:textId="77777777" w:rsidR="0019024B" w:rsidRDefault="0019024B" w:rsidP="0019024B">
      <w:pPr>
        <w:spacing w:line="240" w:lineRule="auto"/>
        <w:rPr>
          <w:u w:val="single"/>
        </w:rPr>
      </w:pPr>
    </w:p>
    <w:p w14:paraId="355E8A00" w14:textId="77777777" w:rsidR="0019024B" w:rsidRPr="00DF4667" w:rsidRDefault="0019024B" w:rsidP="0019024B">
      <w:pPr>
        <w:spacing w:line="240" w:lineRule="auto"/>
        <w:rPr>
          <w:u w:val="single"/>
        </w:rPr>
      </w:pPr>
      <w:r w:rsidRPr="00DF4667">
        <w:rPr>
          <w:u w:val="single"/>
        </w:rPr>
        <w:t xml:space="preserve">SDG 5: Gender equality </w:t>
      </w:r>
    </w:p>
    <w:p w14:paraId="06E0E49D" w14:textId="77777777" w:rsidR="0019024B" w:rsidRDefault="0019024B" w:rsidP="0019024B">
      <w:pPr>
        <w:spacing w:line="240" w:lineRule="auto"/>
      </w:pPr>
      <w:r>
        <w:t>Indicators:</w:t>
      </w:r>
    </w:p>
    <w:p w14:paraId="7CAF20DD" w14:textId="77777777" w:rsidR="0019024B" w:rsidRDefault="0019024B" w:rsidP="0019024B">
      <w:pPr>
        <w:pStyle w:val="ListParagraph"/>
        <w:numPr>
          <w:ilvl w:val="0"/>
          <w:numId w:val="21"/>
        </w:numPr>
        <w:spacing w:line="240" w:lineRule="auto"/>
        <w:ind w:left="426"/>
      </w:pPr>
      <w:r w:rsidRPr="00FF6F7F">
        <w:rPr>
          <w:b/>
        </w:rPr>
        <w:t xml:space="preserve"> (!)</w:t>
      </w:r>
      <w:r>
        <w:rPr>
          <w:b/>
        </w:rPr>
        <w:t xml:space="preserve"> </w:t>
      </w:r>
      <w:r>
        <w:t>Female years of schooling (% male)</w:t>
      </w:r>
    </w:p>
    <w:p w14:paraId="658CC993" w14:textId="77777777" w:rsidR="0019024B" w:rsidRDefault="0019024B" w:rsidP="0019024B">
      <w:pPr>
        <w:pStyle w:val="ListParagraph"/>
        <w:numPr>
          <w:ilvl w:val="0"/>
          <w:numId w:val="21"/>
        </w:numPr>
        <w:spacing w:line="240" w:lineRule="auto"/>
        <w:ind w:left="426"/>
      </w:pPr>
      <w:r w:rsidRPr="00FF6F7F">
        <w:rPr>
          <w:b/>
        </w:rPr>
        <w:t>(!)</w:t>
      </w:r>
      <w:r>
        <w:rPr>
          <w:b/>
        </w:rPr>
        <w:t xml:space="preserve"> </w:t>
      </w:r>
      <w:r>
        <w:t>Female labor force participation (% male)</w:t>
      </w:r>
    </w:p>
    <w:p w14:paraId="651E0004" w14:textId="77777777" w:rsidR="0019024B" w:rsidRDefault="0019024B" w:rsidP="0019024B">
      <w:pPr>
        <w:spacing w:line="240" w:lineRule="auto"/>
      </w:pPr>
    </w:p>
    <w:p w14:paraId="4AF37DB5" w14:textId="77777777" w:rsidR="0019024B" w:rsidRPr="00DF4667" w:rsidRDefault="0019024B" w:rsidP="0019024B">
      <w:pPr>
        <w:spacing w:line="240" w:lineRule="auto"/>
        <w:rPr>
          <w:u w:val="single"/>
        </w:rPr>
      </w:pPr>
      <w:r w:rsidRPr="00DF4667">
        <w:rPr>
          <w:u w:val="single"/>
        </w:rPr>
        <w:t xml:space="preserve">SDG 8: Decent work and economic growth </w:t>
      </w:r>
    </w:p>
    <w:p w14:paraId="7A2A63F0" w14:textId="77777777" w:rsidR="0019024B" w:rsidRDefault="0019024B" w:rsidP="0019024B">
      <w:pPr>
        <w:spacing w:line="240" w:lineRule="auto"/>
      </w:pPr>
      <w:r>
        <w:t>Indicators:</w:t>
      </w:r>
    </w:p>
    <w:p w14:paraId="4748F090" w14:textId="77777777" w:rsidR="0019024B" w:rsidRDefault="0019024B" w:rsidP="0019024B">
      <w:pPr>
        <w:pStyle w:val="ListParagraph"/>
        <w:numPr>
          <w:ilvl w:val="0"/>
          <w:numId w:val="22"/>
        </w:numPr>
        <w:spacing w:line="240" w:lineRule="auto"/>
        <w:ind w:left="426"/>
      </w:pPr>
      <w:r w:rsidRPr="00FF6F7F">
        <w:rPr>
          <w:b/>
        </w:rPr>
        <w:t>(!)</w:t>
      </w:r>
      <w:r>
        <w:rPr>
          <w:b/>
        </w:rPr>
        <w:t xml:space="preserve"> </w:t>
      </w:r>
      <w:r>
        <w:t>Unemployment rate (%)</w:t>
      </w:r>
    </w:p>
    <w:p w14:paraId="5441A040" w14:textId="77777777" w:rsidR="0019024B" w:rsidRDefault="0019024B" w:rsidP="0019024B"/>
    <w:p w14:paraId="4981901D" w14:textId="77777777" w:rsidR="0019024B" w:rsidRPr="00FF6F7F" w:rsidRDefault="0019024B" w:rsidP="0019024B">
      <w:pPr>
        <w:spacing w:line="240" w:lineRule="auto"/>
        <w:rPr>
          <w:u w:val="single"/>
        </w:rPr>
      </w:pPr>
      <w:r w:rsidRPr="00FF6F7F">
        <w:rPr>
          <w:u w:val="single"/>
        </w:rPr>
        <w:t>SDG 6: Clean water and sanitation</w:t>
      </w:r>
    </w:p>
    <w:p w14:paraId="0A828BBE" w14:textId="77777777" w:rsidR="0019024B" w:rsidRDefault="0019024B" w:rsidP="0019024B">
      <w:pPr>
        <w:spacing w:line="240" w:lineRule="auto"/>
      </w:pPr>
      <w:r>
        <w:t>Indicators:</w:t>
      </w:r>
    </w:p>
    <w:p w14:paraId="4D37BE61" w14:textId="77777777" w:rsidR="0019024B" w:rsidRDefault="0019024B" w:rsidP="0019024B">
      <w:pPr>
        <w:pStyle w:val="ListParagraph"/>
        <w:numPr>
          <w:ilvl w:val="0"/>
          <w:numId w:val="23"/>
        </w:numPr>
        <w:spacing w:line="240" w:lineRule="auto"/>
        <w:ind w:left="426"/>
      </w:pPr>
      <w:r w:rsidRPr="00FF6F7F">
        <w:rPr>
          <w:b/>
        </w:rPr>
        <w:t>(!)</w:t>
      </w:r>
      <w:r>
        <w:rPr>
          <w:b/>
        </w:rPr>
        <w:t xml:space="preserve"> </w:t>
      </w:r>
      <w:r>
        <w:t>Population using at least basic drinking water services (%)</w:t>
      </w:r>
    </w:p>
    <w:p w14:paraId="6E8F7E94" w14:textId="77777777" w:rsidR="0019024B" w:rsidRDefault="0019024B" w:rsidP="0019024B">
      <w:pPr>
        <w:pStyle w:val="ListParagraph"/>
        <w:numPr>
          <w:ilvl w:val="0"/>
          <w:numId w:val="23"/>
        </w:numPr>
        <w:spacing w:line="240" w:lineRule="auto"/>
        <w:ind w:left="426"/>
      </w:pPr>
      <w:r w:rsidRPr="00FF6F7F">
        <w:rPr>
          <w:b/>
        </w:rPr>
        <w:t>(!)</w:t>
      </w:r>
      <w:r>
        <w:rPr>
          <w:b/>
        </w:rPr>
        <w:t xml:space="preserve"> </w:t>
      </w:r>
      <w:r>
        <w:t>Population using at least basic sanitation services (%)</w:t>
      </w:r>
    </w:p>
    <w:p w14:paraId="11F7F0D3" w14:textId="77777777" w:rsidR="0019024B" w:rsidRDefault="0019024B" w:rsidP="0019024B">
      <w:pPr>
        <w:pStyle w:val="ListParagraph"/>
        <w:numPr>
          <w:ilvl w:val="0"/>
          <w:numId w:val="23"/>
        </w:numPr>
        <w:spacing w:line="240" w:lineRule="auto"/>
        <w:ind w:left="426"/>
      </w:pPr>
      <w:r>
        <w:t>Freshwater withdrawal (%)</w:t>
      </w:r>
    </w:p>
    <w:p w14:paraId="6FDE8845" w14:textId="77777777" w:rsidR="0019024B" w:rsidRDefault="0019024B" w:rsidP="0019024B">
      <w:pPr>
        <w:pStyle w:val="ListParagraph"/>
        <w:numPr>
          <w:ilvl w:val="0"/>
          <w:numId w:val="23"/>
        </w:numPr>
        <w:spacing w:line="240" w:lineRule="auto"/>
        <w:ind w:left="426"/>
      </w:pPr>
      <w:r>
        <w:t>Imported groundwater depletion (m3/year/capita)</w:t>
      </w:r>
    </w:p>
    <w:p w14:paraId="471EB30E" w14:textId="77777777" w:rsidR="0019024B" w:rsidRDefault="0019024B" w:rsidP="0019024B">
      <w:pPr>
        <w:pStyle w:val="ListParagraph"/>
        <w:numPr>
          <w:ilvl w:val="0"/>
          <w:numId w:val="23"/>
        </w:numPr>
        <w:spacing w:line="240" w:lineRule="auto"/>
        <w:ind w:left="426"/>
      </w:pPr>
      <w:r w:rsidRPr="00FF6F7F">
        <w:rPr>
          <w:b/>
        </w:rPr>
        <w:t>(!)</w:t>
      </w:r>
      <w:r>
        <w:rPr>
          <w:b/>
        </w:rPr>
        <w:t xml:space="preserve"> </w:t>
      </w:r>
      <w:r>
        <w:t>Wastewater treated (%)</w:t>
      </w:r>
    </w:p>
    <w:p w14:paraId="7FC800D1" w14:textId="77777777" w:rsidR="0019024B" w:rsidRDefault="0019024B" w:rsidP="0019024B">
      <w:pPr>
        <w:spacing w:line="240" w:lineRule="auto"/>
      </w:pPr>
    </w:p>
    <w:p w14:paraId="36D43EDF" w14:textId="77777777" w:rsidR="0019024B" w:rsidRPr="00FF6F7F" w:rsidRDefault="0019024B" w:rsidP="0019024B">
      <w:pPr>
        <w:spacing w:line="240" w:lineRule="auto"/>
        <w:rPr>
          <w:u w:val="single"/>
        </w:rPr>
      </w:pPr>
      <w:r w:rsidRPr="00FF6F7F">
        <w:rPr>
          <w:u w:val="single"/>
        </w:rPr>
        <w:t xml:space="preserve">SDG 7: Affordable and clean energy </w:t>
      </w:r>
    </w:p>
    <w:p w14:paraId="077CCF0D" w14:textId="77777777" w:rsidR="0019024B" w:rsidRDefault="0019024B" w:rsidP="0019024B">
      <w:pPr>
        <w:spacing w:line="240" w:lineRule="auto"/>
      </w:pPr>
      <w:r>
        <w:t>Indicators:</w:t>
      </w:r>
    </w:p>
    <w:p w14:paraId="5A1FD7A0" w14:textId="77777777" w:rsidR="0019024B" w:rsidRDefault="0019024B" w:rsidP="0019024B">
      <w:pPr>
        <w:pStyle w:val="ListParagraph"/>
        <w:numPr>
          <w:ilvl w:val="0"/>
          <w:numId w:val="24"/>
        </w:numPr>
        <w:spacing w:line="240" w:lineRule="auto"/>
        <w:ind w:left="426"/>
      </w:pPr>
      <w:r>
        <w:t>Access to electricity (%)</w:t>
      </w:r>
    </w:p>
    <w:p w14:paraId="129FEDEB" w14:textId="77777777" w:rsidR="0019024B" w:rsidRDefault="0019024B" w:rsidP="0019024B">
      <w:pPr>
        <w:pStyle w:val="ListParagraph"/>
        <w:numPr>
          <w:ilvl w:val="0"/>
          <w:numId w:val="24"/>
        </w:numPr>
        <w:spacing w:line="240" w:lineRule="auto"/>
        <w:ind w:left="426"/>
      </w:pPr>
      <w:r w:rsidRPr="00FF6F7F">
        <w:rPr>
          <w:b/>
        </w:rPr>
        <w:t>(!)</w:t>
      </w:r>
      <w:r>
        <w:rPr>
          <w:b/>
        </w:rPr>
        <w:t xml:space="preserve"> </w:t>
      </w:r>
      <w:r>
        <w:t>Access to clean fuels (%)</w:t>
      </w:r>
    </w:p>
    <w:p w14:paraId="1C770D37" w14:textId="77777777" w:rsidR="0019024B" w:rsidRDefault="0019024B" w:rsidP="0019024B">
      <w:pPr>
        <w:pStyle w:val="ListParagraph"/>
        <w:numPr>
          <w:ilvl w:val="0"/>
          <w:numId w:val="24"/>
        </w:numPr>
        <w:spacing w:line="240" w:lineRule="auto"/>
        <w:ind w:left="426"/>
      </w:pPr>
      <w:r w:rsidRPr="00FF6F7F">
        <w:rPr>
          <w:b/>
        </w:rPr>
        <w:lastRenderedPageBreak/>
        <w:t>(!)</w:t>
      </w:r>
      <w:r>
        <w:rPr>
          <w:b/>
        </w:rPr>
        <w:t xml:space="preserve"> </w:t>
      </w:r>
      <w:r>
        <w:t>CO2 from fuels &amp; electricity (MtCO2/</w:t>
      </w:r>
      <w:proofErr w:type="spellStart"/>
      <w:r>
        <w:t>TWh</w:t>
      </w:r>
      <w:proofErr w:type="spellEnd"/>
      <w:r>
        <w:t>)</w:t>
      </w:r>
    </w:p>
    <w:p w14:paraId="1E42BD57" w14:textId="77777777" w:rsidR="0019024B" w:rsidRDefault="0019024B" w:rsidP="0019024B">
      <w:pPr>
        <w:spacing w:line="240" w:lineRule="auto"/>
      </w:pPr>
    </w:p>
    <w:p w14:paraId="01667B97" w14:textId="77777777" w:rsidR="0019024B" w:rsidRPr="00FF6F7F" w:rsidRDefault="0019024B" w:rsidP="0019024B">
      <w:pPr>
        <w:spacing w:line="240" w:lineRule="auto"/>
        <w:rPr>
          <w:u w:val="single"/>
        </w:rPr>
      </w:pPr>
      <w:r w:rsidRPr="00FF6F7F">
        <w:rPr>
          <w:u w:val="single"/>
        </w:rPr>
        <w:t xml:space="preserve">SDG 12: Responsible consumption and production </w:t>
      </w:r>
    </w:p>
    <w:p w14:paraId="53A0002F" w14:textId="77777777" w:rsidR="0019024B" w:rsidRDefault="0019024B" w:rsidP="0019024B">
      <w:pPr>
        <w:pStyle w:val="ListParagraph"/>
        <w:numPr>
          <w:ilvl w:val="0"/>
          <w:numId w:val="25"/>
        </w:numPr>
        <w:spacing w:line="240" w:lineRule="auto"/>
        <w:ind w:left="426"/>
      </w:pPr>
      <w:r w:rsidRPr="00FF6F7F">
        <w:rPr>
          <w:b/>
        </w:rPr>
        <w:t>(!)</w:t>
      </w:r>
      <w:r>
        <w:rPr>
          <w:b/>
        </w:rPr>
        <w:t xml:space="preserve"> </w:t>
      </w:r>
      <w:r>
        <w:t>Municipal solid waste (kg/person/day)</w:t>
      </w:r>
    </w:p>
    <w:p w14:paraId="3C33EAFC" w14:textId="77777777" w:rsidR="0019024B" w:rsidRDefault="0019024B" w:rsidP="0019024B">
      <w:pPr>
        <w:pStyle w:val="ListParagraph"/>
        <w:numPr>
          <w:ilvl w:val="0"/>
          <w:numId w:val="25"/>
        </w:numPr>
        <w:spacing w:line="240" w:lineRule="auto"/>
        <w:ind w:left="426"/>
      </w:pPr>
      <w:r w:rsidRPr="00FF6F7F">
        <w:rPr>
          <w:b/>
        </w:rPr>
        <w:t>(!)</w:t>
      </w:r>
      <w:r>
        <w:rPr>
          <w:b/>
        </w:rPr>
        <w:t xml:space="preserve"> </w:t>
      </w:r>
      <w:r>
        <w:t>E-waste (kg/capita)</w:t>
      </w:r>
    </w:p>
    <w:p w14:paraId="2ECA97AB" w14:textId="3A0FDC66" w:rsidR="0019024B" w:rsidRDefault="0019024B" w:rsidP="0019024B">
      <w:pPr>
        <w:pStyle w:val="ListParagraph"/>
        <w:numPr>
          <w:ilvl w:val="0"/>
          <w:numId w:val="25"/>
        </w:numPr>
        <w:spacing w:line="240" w:lineRule="auto"/>
        <w:ind w:left="426"/>
      </w:pPr>
      <w:r w:rsidRPr="00FF6F7F">
        <w:rPr>
          <w:b/>
        </w:rPr>
        <w:t>(!)</w:t>
      </w:r>
      <w:r>
        <w:rPr>
          <w:b/>
        </w:rPr>
        <w:t xml:space="preserve"> </w:t>
      </w:r>
      <w:r>
        <w:t>Nitrogen production footprint (kg/capita)</w:t>
      </w:r>
    </w:p>
    <w:p w14:paraId="2D2957F5" w14:textId="77777777" w:rsidR="0019024B" w:rsidRDefault="0019024B" w:rsidP="0019024B">
      <w:pPr>
        <w:spacing w:line="240" w:lineRule="auto"/>
      </w:pPr>
    </w:p>
    <w:p w14:paraId="26202DDE" w14:textId="77777777" w:rsidR="0019024B" w:rsidRPr="00785869" w:rsidRDefault="0019024B" w:rsidP="0019024B">
      <w:pPr>
        <w:spacing w:line="240" w:lineRule="auto"/>
        <w:rPr>
          <w:u w:val="single"/>
        </w:rPr>
      </w:pPr>
      <w:r w:rsidRPr="00785869">
        <w:rPr>
          <w:u w:val="single"/>
        </w:rPr>
        <w:t xml:space="preserve">SDG 13: Climate action </w:t>
      </w:r>
    </w:p>
    <w:p w14:paraId="3B8C6BA6" w14:textId="77777777" w:rsidR="0019024B" w:rsidRDefault="0019024B" w:rsidP="0019024B">
      <w:pPr>
        <w:pStyle w:val="ListParagraph"/>
        <w:numPr>
          <w:ilvl w:val="0"/>
          <w:numId w:val="26"/>
        </w:numPr>
        <w:spacing w:line="240" w:lineRule="auto"/>
        <w:ind w:left="426"/>
      </w:pPr>
      <w:r w:rsidRPr="00FF6F7F">
        <w:rPr>
          <w:b/>
        </w:rPr>
        <w:t>(!)</w:t>
      </w:r>
      <w:r>
        <w:rPr>
          <w:b/>
        </w:rPr>
        <w:t xml:space="preserve"> </w:t>
      </w:r>
      <w:r>
        <w:t>CO2 emissions from energy (tCO2/capita)</w:t>
      </w:r>
    </w:p>
    <w:p w14:paraId="150A9C85" w14:textId="0C2756EF" w:rsidR="0019024B" w:rsidRDefault="003520F3" w:rsidP="0019024B">
      <w:pPr>
        <w:pStyle w:val="ListParagraph"/>
        <w:numPr>
          <w:ilvl w:val="0"/>
          <w:numId w:val="26"/>
        </w:numPr>
        <w:spacing w:line="240" w:lineRule="auto"/>
        <w:ind w:left="426"/>
      </w:pPr>
      <w:r w:rsidRPr="00FF6F7F" w:rsidDel="003520F3">
        <w:rPr>
          <w:b/>
        </w:rPr>
        <w:t xml:space="preserve"> </w:t>
      </w:r>
      <w:r w:rsidR="0019024B" w:rsidRPr="00FF6F7F">
        <w:rPr>
          <w:b/>
        </w:rPr>
        <w:t>(!)</w:t>
      </w:r>
      <w:r w:rsidR="00BE7189">
        <w:t xml:space="preserve"> </w:t>
      </w:r>
      <w:r w:rsidR="0019024B" w:rsidRPr="00BC700E">
        <w:t>Imported</w:t>
      </w:r>
      <w:r w:rsidR="0019024B">
        <w:t xml:space="preserve"> CO2 emissions (tCO2/capita)</w:t>
      </w:r>
    </w:p>
    <w:p w14:paraId="53234C4B" w14:textId="77777777" w:rsidR="0019024B" w:rsidRDefault="0019024B" w:rsidP="0019024B">
      <w:pPr>
        <w:pStyle w:val="ListParagraph"/>
        <w:numPr>
          <w:ilvl w:val="0"/>
          <w:numId w:val="26"/>
        </w:numPr>
        <w:spacing w:line="240" w:lineRule="auto"/>
        <w:ind w:left="426"/>
      </w:pPr>
      <w:r w:rsidRPr="00FF6F7F">
        <w:rPr>
          <w:b/>
        </w:rPr>
        <w:t>(!)</w:t>
      </w:r>
      <w:r>
        <w:rPr>
          <w:b/>
        </w:rPr>
        <w:t xml:space="preserve"> </w:t>
      </w:r>
      <w:r>
        <w:t>People affected by climate-related disasters (per 100,000 population)</w:t>
      </w:r>
    </w:p>
    <w:p w14:paraId="4002523C" w14:textId="0C32B902" w:rsidR="00917A25" w:rsidRPr="0019024B" w:rsidRDefault="0019024B" w:rsidP="0019024B">
      <w:pPr>
        <w:pStyle w:val="ListParagraph"/>
        <w:numPr>
          <w:ilvl w:val="0"/>
          <w:numId w:val="26"/>
        </w:numPr>
        <w:spacing w:line="240" w:lineRule="auto"/>
        <w:ind w:left="426"/>
      </w:pPr>
      <w:r w:rsidRPr="0019024B">
        <w:t>CO2 emissions embodied in fossil fuel exports (kg/capita)</w:t>
      </w:r>
    </w:p>
    <w:p w14:paraId="559A248D" w14:textId="77777777" w:rsidR="00917A25" w:rsidRPr="00EE14DB" w:rsidRDefault="00917A25"/>
    <w:p w14:paraId="1579162F" w14:textId="041A5E42" w:rsidR="009F63F6" w:rsidRPr="00EE14DB" w:rsidRDefault="009F63F6">
      <w:pPr>
        <w:rPr>
          <w:b/>
        </w:rPr>
      </w:pPr>
      <w:bookmarkStart w:id="0" w:name="_Hlk20908699"/>
      <w:r w:rsidRPr="00EE14DB">
        <w:rPr>
          <w:b/>
        </w:rPr>
        <w:t>1.</w:t>
      </w:r>
      <w:r w:rsidR="0019024B">
        <w:rPr>
          <w:b/>
        </w:rPr>
        <w:t xml:space="preserve">4. </w:t>
      </w:r>
      <w:r w:rsidRPr="00EE14DB">
        <w:rPr>
          <w:b/>
        </w:rPr>
        <w:t>Available financial resources</w:t>
      </w:r>
      <w:r w:rsidR="00192772" w:rsidRPr="00EE14DB">
        <w:rPr>
          <w:b/>
        </w:rPr>
        <w:t xml:space="preserve"> and financial obligations of applicants</w:t>
      </w:r>
    </w:p>
    <w:bookmarkEnd w:id="0"/>
    <w:p w14:paraId="6154BE32" w14:textId="77777777" w:rsidR="009F63F6" w:rsidRPr="00EE14DB" w:rsidRDefault="009F63F6"/>
    <w:p w14:paraId="0B117C0E" w14:textId="795BA17C" w:rsidR="00192772" w:rsidRPr="00EE14DB" w:rsidRDefault="00192772" w:rsidP="00093A3C">
      <w:pPr>
        <w:jc w:val="both"/>
      </w:pPr>
      <w:r w:rsidRPr="00EE14DB">
        <w:t xml:space="preserve">Total available sum for this Call for Proposals is </w:t>
      </w:r>
      <w:r w:rsidR="00850B66">
        <w:t>USD</w:t>
      </w:r>
      <w:r w:rsidR="00004BBA">
        <w:t xml:space="preserve"> </w:t>
      </w:r>
      <w:r w:rsidR="004D2926">
        <w:t>1</w:t>
      </w:r>
      <w:r w:rsidR="00004BBA">
        <w:t>,</w:t>
      </w:r>
      <w:r w:rsidR="004D2926">
        <w:t>0</w:t>
      </w:r>
      <w:r w:rsidRPr="00EE14DB">
        <w:t>00</w:t>
      </w:r>
      <w:r w:rsidR="00004BBA">
        <w:t>,</w:t>
      </w:r>
      <w:r w:rsidRPr="00EE14DB">
        <w:t>000</w:t>
      </w:r>
      <w:r w:rsidR="00004BBA">
        <w:t>.</w:t>
      </w:r>
      <w:r w:rsidRPr="00EE14DB">
        <w:t>00.</w:t>
      </w:r>
    </w:p>
    <w:p w14:paraId="38D0CA2D" w14:textId="77777777" w:rsidR="00192772" w:rsidRPr="00EE14DB" w:rsidRDefault="00192772" w:rsidP="00093A3C">
      <w:pPr>
        <w:jc w:val="both"/>
      </w:pPr>
    </w:p>
    <w:p w14:paraId="3CE8F6D1" w14:textId="1A208438" w:rsidR="00192772" w:rsidRPr="00EE14DB" w:rsidRDefault="00192772" w:rsidP="00093A3C">
      <w:pPr>
        <w:jc w:val="both"/>
      </w:pPr>
      <w:r w:rsidRPr="00EE14DB">
        <w:t xml:space="preserve">Minimum and maximum amounts that an individual applicant may apply for are set </w:t>
      </w:r>
      <w:r w:rsidR="00E17194" w:rsidRPr="00EE14DB">
        <w:t>a</w:t>
      </w:r>
      <w:r w:rsidRPr="00EE14DB">
        <w:t>s follows:</w:t>
      </w:r>
    </w:p>
    <w:p w14:paraId="50517AEE" w14:textId="629815F5" w:rsidR="00192772" w:rsidRPr="00EE14DB" w:rsidRDefault="00192772" w:rsidP="00093A3C">
      <w:pPr>
        <w:numPr>
          <w:ilvl w:val="0"/>
          <w:numId w:val="2"/>
        </w:numPr>
        <w:jc w:val="both"/>
      </w:pPr>
      <w:r w:rsidRPr="00EE14DB">
        <w:t xml:space="preserve">minimum amount is </w:t>
      </w:r>
      <w:r w:rsidR="00850B66">
        <w:t>USD</w:t>
      </w:r>
      <w:r w:rsidR="00004BBA" w:rsidRPr="00EE14DB">
        <w:t xml:space="preserve"> </w:t>
      </w:r>
      <w:r w:rsidRPr="00EE14DB">
        <w:t>10</w:t>
      </w:r>
      <w:r w:rsidR="00E24956">
        <w:t>,</w:t>
      </w:r>
      <w:r w:rsidRPr="00EE14DB">
        <w:t>000</w:t>
      </w:r>
      <w:r w:rsidR="00E24956">
        <w:t>.</w:t>
      </w:r>
      <w:r w:rsidRPr="00EE14DB">
        <w:t xml:space="preserve">00 </w:t>
      </w:r>
    </w:p>
    <w:p w14:paraId="60E5CF7B" w14:textId="24564373" w:rsidR="00192772" w:rsidRPr="00EE14DB" w:rsidRDefault="00192772" w:rsidP="00093A3C">
      <w:pPr>
        <w:numPr>
          <w:ilvl w:val="0"/>
          <w:numId w:val="2"/>
        </w:numPr>
        <w:jc w:val="both"/>
      </w:pPr>
      <w:r w:rsidRPr="00EE14DB">
        <w:t xml:space="preserve">maximum amount is </w:t>
      </w:r>
      <w:r w:rsidR="00850B66">
        <w:t>USD</w:t>
      </w:r>
      <w:r w:rsidR="00004BBA" w:rsidRPr="00EE14DB" w:rsidDel="00E24956">
        <w:t xml:space="preserve"> </w:t>
      </w:r>
      <w:r w:rsidR="00E24956">
        <w:t>3</w:t>
      </w:r>
      <w:r w:rsidRPr="00EE14DB">
        <w:t>0</w:t>
      </w:r>
      <w:r w:rsidR="00E24956">
        <w:t>,</w:t>
      </w:r>
      <w:r w:rsidRPr="00EE14DB">
        <w:t>000</w:t>
      </w:r>
      <w:r w:rsidR="00E24956">
        <w:t>.</w:t>
      </w:r>
      <w:r w:rsidRPr="00EE14DB">
        <w:t>00</w:t>
      </w:r>
    </w:p>
    <w:p w14:paraId="6B558569" w14:textId="77777777" w:rsidR="00192772" w:rsidRPr="00EE14DB" w:rsidRDefault="00192772" w:rsidP="00093A3C">
      <w:pPr>
        <w:jc w:val="both"/>
      </w:pPr>
    </w:p>
    <w:p w14:paraId="4AEC0448" w14:textId="1AAA9CE6" w:rsidR="00192772" w:rsidRPr="00EE14DB" w:rsidRDefault="00192772" w:rsidP="005D1A05">
      <w:pPr>
        <w:jc w:val="both"/>
      </w:pPr>
      <w:r w:rsidRPr="00EE14DB">
        <w:t>In cases of applications submitted in partnership between two or more municipalities, the sums from the previous paragraph can be multiplied by the number of participating partners – municipalities</w:t>
      </w:r>
      <w:r w:rsidR="00E17194" w:rsidRPr="00EE14DB">
        <w:t xml:space="preserve">, e.g. </w:t>
      </w:r>
      <w:r w:rsidR="005439B8">
        <w:t>6</w:t>
      </w:r>
      <w:r w:rsidR="005439B8" w:rsidRPr="00EE14DB">
        <w:t>0</w:t>
      </w:r>
      <w:r w:rsidR="00E17194" w:rsidRPr="00EE14DB">
        <w:t xml:space="preserve">.000 </w:t>
      </w:r>
      <w:r w:rsidR="00850B66">
        <w:t>USD</w:t>
      </w:r>
      <w:r w:rsidR="00E17194" w:rsidRPr="00EE14DB">
        <w:t xml:space="preserve"> for 2 municipalities acting in partnership</w:t>
      </w:r>
      <w:r w:rsidRPr="00EE14DB">
        <w:t>.</w:t>
      </w:r>
      <w:r w:rsidR="00E17194" w:rsidRPr="00EE14DB">
        <w:t xml:space="preserve"> The minimum amount rule remains the same regardless of any partnership agreement.</w:t>
      </w:r>
    </w:p>
    <w:p w14:paraId="5B6D10CD" w14:textId="77777777" w:rsidR="00E70BD3" w:rsidRPr="00EE14DB" w:rsidRDefault="00E70BD3" w:rsidP="00093A3C">
      <w:pPr>
        <w:jc w:val="both"/>
      </w:pPr>
    </w:p>
    <w:p w14:paraId="022A6FBA" w14:textId="77777777" w:rsidR="00E70BD3" w:rsidRPr="00EE14DB" w:rsidRDefault="00E70BD3" w:rsidP="005D1A05">
      <w:pPr>
        <w:jc w:val="both"/>
      </w:pPr>
      <w:r w:rsidRPr="00EE14DB">
        <w:t xml:space="preserve">The maximum intensity of support under this Call for proposals is 100%, e.g. </w:t>
      </w:r>
      <w:r w:rsidR="00182076" w:rsidRPr="00EE14DB">
        <w:t>there is no need for co-financing from the applicants in cases where the final amount of support, determined through the selection and procurement procedures, falls within the limits described above.</w:t>
      </w:r>
    </w:p>
    <w:p w14:paraId="310CF196" w14:textId="77777777" w:rsidR="00182076" w:rsidRPr="00EE14DB" w:rsidRDefault="00182076" w:rsidP="00093A3C">
      <w:pPr>
        <w:jc w:val="both"/>
      </w:pPr>
      <w:r w:rsidRPr="00EE14DB">
        <w:t>However, in cases where this final amount exceeds these limits, the applicant will be required to provide co-financing up to the final amount from own or other resources.</w:t>
      </w:r>
    </w:p>
    <w:p w14:paraId="589CD81E" w14:textId="14EA4B5F" w:rsidR="00182076" w:rsidRDefault="00182076"/>
    <w:p w14:paraId="7B5A3B0C" w14:textId="77777777" w:rsidR="00BC700E" w:rsidRPr="00EE14DB" w:rsidRDefault="00BC700E"/>
    <w:p w14:paraId="141BD277" w14:textId="77777777" w:rsidR="00C453E4" w:rsidRPr="00EE14DB" w:rsidRDefault="00C453E4" w:rsidP="00C453E4">
      <w:pPr>
        <w:rPr>
          <w:b/>
        </w:rPr>
      </w:pPr>
      <w:r w:rsidRPr="00EE14DB">
        <w:rPr>
          <w:b/>
        </w:rPr>
        <w:t>2. RULES OF THE CALL FOR PROPOSALS</w:t>
      </w:r>
      <w:r w:rsidRPr="00EE14DB">
        <w:rPr>
          <w:b/>
        </w:rPr>
        <w:tab/>
      </w:r>
    </w:p>
    <w:p w14:paraId="0A65D15C" w14:textId="77777777" w:rsidR="00C453E4" w:rsidRPr="00EE14DB" w:rsidRDefault="00C453E4" w:rsidP="00C453E4">
      <w:pPr>
        <w:rPr>
          <w:b/>
        </w:rPr>
      </w:pPr>
    </w:p>
    <w:p w14:paraId="7F1D7DC0" w14:textId="77777777" w:rsidR="00182076" w:rsidRPr="00EE14DB" w:rsidRDefault="00C453E4" w:rsidP="00C453E4">
      <w:pPr>
        <w:rPr>
          <w:b/>
        </w:rPr>
      </w:pPr>
      <w:r w:rsidRPr="00EE14DB">
        <w:rPr>
          <w:b/>
        </w:rPr>
        <w:t>2.1. Eligibility criteria</w:t>
      </w:r>
    </w:p>
    <w:p w14:paraId="296E2BF5" w14:textId="77777777" w:rsidR="00C453E4" w:rsidRPr="00EE14DB" w:rsidRDefault="00C453E4" w:rsidP="00C453E4"/>
    <w:p w14:paraId="02991D91" w14:textId="77777777" w:rsidR="00C453E4" w:rsidRPr="00EE14DB" w:rsidRDefault="00C453E4" w:rsidP="00C453E4">
      <w:pPr>
        <w:rPr>
          <w:u w:val="single"/>
        </w:rPr>
      </w:pPr>
      <w:r w:rsidRPr="00EE14DB">
        <w:rPr>
          <w:u w:val="single"/>
        </w:rPr>
        <w:t>2.1.1. Eligibility of applicants – Who can apply?</w:t>
      </w:r>
      <w:r w:rsidRPr="00EE14DB">
        <w:rPr>
          <w:u w:val="single"/>
        </w:rPr>
        <w:tab/>
      </w:r>
    </w:p>
    <w:p w14:paraId="470FE2B2" w14:textId="77777777" w:rsidR="00A76C67" w:rsidRPr="00EE14DB" w:rsidRDefault="00C453E4" w:rsidP="005D1A05">
      <w:pPr>
        <w:jc w:val="both"/>
      </w:pPr>
      <w:r w:rsidRPr="00EE14DB">
        <w:t xml:space="preserve">The only eligible applicants under this Call for proposals are municipalities. </w:t>
      </w:r>
    </w:p>
    <w:p w14:paraId="4778A826" w14:textId="1E51F095" w:rsidR="00C453E4" w:rsidRPr="00EE14DB" w:rsidRDefault="000842AE" w:rsidP="00093A3C">
      <w:pPr>
        <w:jc w:val="both"/>
      </w:pPr>
      <w:r w:rsidRPr="00EE14DB">
        <w:t>Final beneficiaries, e.g. users of the produced technical documentation can be any other public entity founded by the applying municipality(</w:t>
      </w:r>
      <w:proofErr w:type="spellStart"/>
      <w:r w:rsidRPr="00EE14DB">
        <w:t>ies</w:t>
      </w:r>
      <w:proofErr w:type="spellEnd"/>
      <w:r w:rsidRPr="00EE14DB">
        <w:t>)</w:t>
      </w:r>
      <w:r w:rsidR="00E24956">
        <w:t xml:space="preserve"> </w:t>
      </w:r>
      <w:r w:rsidRPr="00EE14DB">
        <w:t>and operating in the territory of the applying municipality(</w:t>
      </w:r>
      <w:proofErr w:type="spellStart"/>
      <w:r w:rsidRPr="00EE14DB">
        <w:t>ies</w:t>
      </w:r>
      <w:proofErr w:type="spellEnd"/>
      <w:r w:rsidRPr="00EE14DB">
        <w:t xml:space="preserve">), such as public utility </w:t>
      </w:r>
      <w:r w:rsidR="00A76C67" w:rsidRPr="00EE14DB">
        <w:t xml:space="preserve">and communal infrastructure maintenance </w:t>
      </w:r>
      <w:r w:rsidRPr="00EE14DB">
        <w:t xml:space="preserve">companies, schools, kindergartens, and other institutions. However, the application must be submitted and signed, and implementation guaranteed by the responsible person in the applying municipality. </w:t>
      </w:r>
    </w:p>
    <w:p w14:paraId="7AD79058" w14:textId="04DCED4F" w:rsidR="000842AE" w:rsidRPr="00EE14DB" w:rsidRDefault="000842AE" w:rsidP="00093A3C">
      <w:pPr>
        <w:jc w:val="both"/>
      </w:pPr>
      <w:r w:rsidRPr="00EE14DB">
        <w:lastRenderedPageBreak/>
        <w:t>Participation of the final beneficiaries in the implementation, e.g. production of the requested technical documentation</w:t>
      </w:r>
      <w:r w:rsidR="00A76C67" w:rsidRPr="00EE14DB">
        <w:t>,</w:t>
      </w:r>
      <w:r w:rsidRPr="00EE14DB">
        <w:t xml:space="preserve"> needs to be described and explained in the Application form</w:t>
      </w:r>
      <w:r w:rsidR="00D4522D">
        <w:t>.</w:t>
      </w:r>
    </w:p>
    <w:p w14:paraId="3AC9784E" w14:textId="4887537A" w:rsidR="00A76C67" w:rsidRPr="00EE14DB" w:rsidRDefault="00A76C67" w:rsidP="00093A3C">
      <w:pPr>
        <w:jc w:val="both"/>
      </w:pPr>
      <w:r w:rsidRPr="00EE14DB">
        <w:t xml:space="preserve">In cases where the application is submitted in partnership by two or more municipalities, one </w:t>
      </w:r>
      <w:r w:rsidR="00CE3AD9" w:rsidRPr="00EE14DB">
        <w:t>of them needs to be designated as a lead partner. The individual roles of each partner in such joint application need to be explained in the above</w:t>
      </w:r>
      <w:r w:rsidR="00D51F03">
        <w:t>-</w:t>
      </w:r>
      <w:r w:rsidR="00CE3AD9" w:rsidRPr="00EE14DB">
        <w:t>mentioned section of the Application form, as well as in the Partnership agreement.</w:t>
      </w:r>
    </w:p>
    <w:p w14:paraId="5E191762" w14:textId="77777777" w:rsidR="00392EE2" w:rsidRPr="00EE14DB" w:rsidRDefault="00392EE2" w:rsidP="00093A3C">
      <w:pPr>
        <w:jc w:val="both"/>
      </w:pPr>
      <w:r w:rsidRPr="00EE14DB">
        <w:t>Each municipality can submit ONLY ONE Application, regardless if it is individual or in partnership with another municipality(</w:t>
      </w:r>
      <w:proofErr w:type="spellStart"/>
      <w:r w:rsidRPr="00EE14DB">
        <w:t>ies</w:t>
      </w:r>
      <w:proofErr w:type="spellEnd"/>
      <w:r w:rsidRPr="00EE14DB">
        <w:t>).</w:t>
      </w:r>
    </w:p>
    <w:p w14:paraId="03A2FCA5" w14:textId="77777777" w:rsidR="00C453E4" w:rsidRPr="00EE14DB" w:rsidRDefault="00C453E4" w:rsidP="00C453E4">
      <w:pPr>
        <w:rPr>
          <w:u w:val="single"/>
        </w:rPr>
      </w:pPr>
    </w:p>
    <w:p w14:paraId="1EC30AF4" w14:textId="0A9A56E0" w:rsidR="008F5109" w:rsidRPr="00EE14DB" w:rsidRDefault="008F5109" w:rsidP="00C453E4">
      <w:pPr>
        <w:rPr>
          <w:u w:val="single"/>
        </w:rPr>
      </w:pPr>
      <w:r w:rsidRPr="00EE14DB">
        <w:rPr>
          <w:u w:val="single"/>
        </w:rPr>
        <w:t xml:space="preserve">2.1.2. Eligibility of projects – Which types of projects can receive </w:t>
      </w:r>
      <w:r w:rsidR="00B72416">
        <w:rPr>
          <w:u w:val="single"/>
        </w:rPr>
        <w:t>funding</w:t>
      </w:r>
      <w:r w:rsidRPr="00EE14DB">
        <w:rPr>
          <w:u w:val="single"/>
        </w:rPr>
        <w:t>?</w:t>
      </w:r>
    </w:p>
    <w:p w14:paraId="3B87F148" w14:textId="5E0383E6" w:rsidR="004C3236" w:rsidRPr="00EE14DB" w:rsidRDefault="004C3236" w:rsidP="005D1A05">
      <w:pPr>
        <w:jc w:val="both"/>
      </w:pPr>
      <w:r w:rsidRPr="00EE14DB">
        <w:t xml:space="preserve">The eligibility of local development projects that can receive </w:t>
      </w:r>
      <w:r w:rsidR="00B72416">
        <w:t>funding</w:t>
      </w:r>
      <w:r w:rsidRPr="00EE14DB">
        <w:t xml:space="preserve"> in the preparation (formulation) stage under this Call for proposals has been determined (primarily) by the level of achievement of </w:t>
      </w:r>
      <w:r w:rsidR="00237C77" w:rsidRPr="00EE14DB">
        <w:t xml:space="preserve">relevant </w:t>
      </w:r>
      <w:r w:rsidRPr="00EE14DB">
        <w:t>Sustainable Development Goals (SDGs) at national level, as well as situation analysis and data provided by the municipalities in developing Municipal Development Index (MDI).</w:t>
      </w:r>
      <w:r w:rsidR="0058333F" w:rsidRPr="00EE14DB">
        <w:t xml:space="preserve"> </w:t>
      </w:r>
    </w:p>
    <w:p w14:paraId="69402B4C" w14:textId="77777777" w:rsidR="00237C77" w:rsidRPr="00EE14DB" w:rsidRDefault="00237C77" w:rsidP="00093A3C">
      <w:pPr>
        <w:jc w:val="both"/>
      </w:pPr>
      <w:r w:rsidRPr="00EE14DB">
        <w:t>Eligible are those projects falling within the following 3 main groups:</w:t>
      </w:r>
    </w:p>
    <w:p w14:paraId="5DCA0223" w14:textId="77777777" w:rsidR="00237C77" w:rsidRPr="00EE14DB" w:rsidRDefault="00237C77" w:rsidP="00237C77"/>
    <w:p w14:paraId="29C0D866" w14:textId="47E7F50E" w:rsidR="00237C77" w:rsidRPr="00EE14DB" w:rsidRDefault="00237C77" w:rsidP="00237C77">
      <w:r w:rsidRPr="00EE14DB">
        <w:t xml:space="preserve">1. Communal, transport and business infrastructure: </w:t>
      </w:r>
    </w:p>
    <w:p w14:paraId="663A992B" w14:textId="3A77D984" w:rsidR="00237C77" w:rsidRDefault="00237C77" w:rsidP="00093A3C">
      <w:pPr>
        <w:pStyle w:val="ListParagraph"/>
        <w:numPr>
          <w:ilvl w:val="0"/>
          <w:numId w:val="6"/>
        </w:numPr>
        <w:jc w:val="both"/>
      </w:pPr>
      <w:r w:rsidRPr="00EE14DB">
        <w:t>local roads (re)construction, incl. asphalting</w:t>
      </w:r>
      <w:r w:rsidR="00AC5A0D">
        <w:t xml:space="preserve"> and sidewalks</w:t>
      </w:r>
      <w:r w:rsidR="00FF56D5">
        <w:t xml:space="preserve"> construction</w:t>
      </w:r>
      <w:r w:rsidRPr="00EE14DB">
        <w:t xml:space="preserve">. A proof needs to be submitted that the current traffic is causing </w:t>
      </w:r>
      <w:r w:rsidR="00862CC9">
        <w:t>“</w:t>
      </w:r>
      <w:r w:rsidRPr="00EE14DB">
        <w:t>bottlenecks</w:t>
      </w:r>
      <w:r w:rsidR="00862CC9">
        <w:t>”</w:t>
      </w:r>
      <w:r w:rsidRPr="00EE14DB">
        <w:t xml:space="preserve">, presents an obstacle to local economic development, or that there are safety </w:t>
      </w:r>
      <w:r w:rsidR="00D51F03">
        <w:t xml:space="preserve">considerations </w:t>
      </w:r>
      <w:r w:rsidRPr="00EE14DB">
        <w:t>for drivers, cyclists and pedestrians;</w:t>
      </w:r>
    </w:p>
    <w:p w14:paraId="7112F7D6" w14:textId="082B72DB" w:rsidR="00757722" w:rsidRPr="00EE14DB" w:rsidRDefault="00757722" w:rsidP="00093A3C">
      <w:pPr>
        <w:pStyle w:val="ListParagraph"/>
        <w:numPr>
          <w:ilvl w:val="0"/>
          <w:numId w:val="6"/>
        </w:numPr>
        <w:jc w:val="both"/>
      </w:pPr>
      <w:r w:rsidRPr="00757722">
        <w:t>construction and rehabilitation of water supply networks (main pipelines, distribution networks</w:t>
      </w:r>
      <w:r>
        <w:t xml:space="preserve">, </w:t>
      </w:r>
      <w:r w:rsidR="00D51F03">
        <w:t>sewerage</w:t>
      </w:r>
      <w:r>
        <w:t xml:space="preserve"> collectors etc.)</w:t>
      </w:r>
      <w:r w:rsidR="00862CC9">
        <w:t>;</w:t>
      </w:r>
    </w:p>
    <w:p w14:paraId="7FBAB830" w14:textId="22E071B3" w:rsidR="00D053D4" w:rsidRPr="00EE14DB" w:rsidRDefault="00237C77" w:rsidP="00D053D4">
      <w:pPr>
        <w:pStyle w:val="ListParagraph"/>
        <w:numPr>
          <w:ilvl w:val="0"/>
          <w:numId w:val="6"/>
        </w:numPr>
        <w:jc w:val="both"/>
      </w:pPr>
      <w:r w:rsidRPr="00EE14DB">
        <w:t>local bridges, pedestrian crossings, bicycle</w:t>
      </w:r>
      <w:r w:rsidR="00B72416">
        <w:t xml:space="preserve"> and walking</w:t>
      </w:r>
      <w:r w:rsidRPr="00EE14DB">
        <w:t xml:space="preserve"> paths, public transport facilities (bus eaves, railway stations,</w:t>
      </w:r>
      <w:r w:rsidR="00862CC9">
        <w:t xml:space="preserve"> </w:t>
      </w:r>
      <w:r w:rsidRPr="00EE14DB">
        <w:t>etc.);</w:t>
      </w:r>
    </w:p>
    <w:p w14:paraId="3938F58F" w14:textId="6E69D7C6" w:rsidR="00237C77" w:rsidRPr="00EE14DB" w:rsidRDefault="00237C77" w:rsidP="00093A3C">
      <w:pPr>
        <w:pStyle w:val="ListParagraph"/>
        <w:numPr>
          <w:ilvl w:val="0"/>
          <w:numId w:val="6"/>
        </w:numPr>
        <w:jc w:val="both"/>
      </w:pPr>
      <w:r w:rsidRPr="00EE14DB">
        <w:t xml:space="preserve">electricity supply (re)construction projects, </w:t>
      </w:r>
      <w:r w:rsidR="00697CDB">
        <w:t xml:space="preserve">street lightning, </w:t>
      </w:r>
      <w:r w:rsidRPr="00EE14DB">
        <w:t xml:space="preserve">electrification or increase in capacity for business related infrastructure. A proof </w:t>
      </w:r>
      <w:r w:rsidR="00D51F03">
        <w:t xml:space="preserve">is </w:t>
      </w:r>
      <w:r w:rsidRPr="00EE14DB">
        <w:t>need</w:t>
      </w:r>
      <w:r w:rsidR="00D51F03">
        <w:t>ed</w:t>
      </w:r>
      <w:r w:rsidRPr="00EE14DB">
        <w:t xml:space="preserve"> in form of signed contracts and/or let</w:t>
      </w:r>
      <w:r w:rsidR="00697CDB">
        <w:t>t</w:t>
      </w:r>
      <w:r w:rsidRPr="00EE14DB">
        <w:t xml:space="preserve">ers of intent will need to be submitted; </w:t>
      </w:r>
    </w:p>
    <w:p w14:paraId="59314CFC" w14:textId="6D87C256" w:rsidR="00237C77" w:rsidRPr="00EE14DB" w:rsidRDefault="00237C77" w:rsidP="00093A3C">
      <w:pPr>
        <w:pStyle w:val="ListParagraph"/>
        <w:numPr>
          <w:ilvl w:val="0"/>
          <w:numId w:val="6"/>
        </w:numPr>
        <w:jc w:val="both"/>
      </w:pPr>
      <w:r w:rsidRPr="00EE14DB">
        <w:t>projects of business-related infrastructure</w:t>
      </w:r>
      <w:r w:rsidR="00436C87" w:rsidRPr="00EE14DB">
        <w:t xml:space="preserve"> limited to small and medium-sized enterprises (SMEs)</w:t>
      </w:r>
      <w:r w:rsidRPr="00EE14DB">
        <w:t>: (re)construction of open and closed markets, business and entrepreneurial</w:t>
      </w:r>
      <w:r w:rsidR="00697CDB">
        <w:t xml:space="preserve"> </w:t>
      </w:r>
      <w:r w:rsidRPr="00EE14DB">
        <w:t>zones, business incubators, start-up facilities etc.</w:t>
      </w:r>
    </w:p>
    <w:p w14:paraId="536337D0" w14:textId="77777777" w:rsidR="00237C77" w:rsidRPr="00EE14DB" w:rsidRDefault="00237C77" w:rsidP="00237C77"/>
    <w:p w14:paraId="2060FF5B" w14:textId="77777777" w:rsidR="00237C77" w:rsidRPr="00EE14DB" w:rsidRDefault="00237C77" w:rsidP="00237C77">
      <w:r w:rsidRPr="00EE14DB">
        <w:t>2. Social infrastructure:</w:t>
      </w:r>
    </w:p>
    <w:p w14:paraId="27491E47" w14:textId="3E3A6783" w:rsidR="00237C77" w:rsidRPr="00EE14DB" w:rsidRDefault="00237C77" w:rsidP="00093A3C">
      <w:pPr>
        <w:pStyle w:val="ListParagraph"/>
        <w:numPr>
          <w:ilvl w:val="0"/>
          <w:numId w:val="7"/>
        </w:numPr>
        <w:jc w:val="both"/>
      </w:pPr>
      <w:r w:rsidRPr="00EE14DB">
        <w:t>(re)construction of education and education infrastructure: schools and kindergartens</w:t>
      </w:r>
      <w:r w:rsidR="00862CC9">
        <w:t>;</w:t>
      </w:r>
      <w:r w:rsidRPr="00EE14DB">
        <w:t xml:space="preserve"> </w:t>
      </w:r>
    </w:p>
    <w:p w14:paraId="3B1B52C6" w14:textId="5A0A5A1D" w:rsidR="00237C77" w:rsidRPr="00EE14DB" w:rsidRDefault="00237C77" w:rsidP="00093A3C">
      <w:pPr>
        <w:pStyle w:val="ListParagraph"/>
        <w:numPr>
          <w:ilvl w:val="0"/>
          <w:numId w:val="7"/>
        </w:numPr>
        <w:jc w:val="both"/>
      </w:pPr>
      <w:r w:rsidRPr="00EE14DB">
        <w:t>(re)construction of elderly care facilities</w:t>
      </w:r>
      <w:r w:rsidR="00862CC9">
        <w:t>;</w:t>
      </w:r>
    </w:p>
    <w:p w14:paraId="22434CA0" w14:textId="77777777" w:rsidR="00237C77" w:rsidRDefault="00237C77" w:rsidP="00093A3C">
      <w:pPr>
        <w:pStyle w:val="ListParagraph"/>
        <w:numPr>
          <w:ilvl w:val="0"/>
          <w:numId w:val="7"/>
        </w:numPr>
        <w:jc w:val="both"/>
      </w:pPr>
      <w:r w:rsidRPr="00EE14DB">
        <w:t>projects of adjustment of any public infrastructure or other facility to become accessible for persons with disabilities;</w:t>
      </w:r>
    </w:p>
    <w:p w14:paraId="1B6A8DA1" w14:textId="622A020F" w:rsidR="003D7850" w:rsidRDefault="00210E76" w:rsidP="00D51F03">
      <w:pPr>
        <w:pStyle w:val="ListParagraph"/>
        <w:numPr>
          <w:ilvl w:val="0"/>
          <w:numId w:val="7"/>
        </w:numPr>
        <w:jc w:val="both"/>
      </w:pPr>
      <w:r>
        <w:t xml:space="preserve">(re)construction of public </w:t>
      </w:r>
      <w:r w:rsidR="00D51F03">
        <w:t>spaces for enjoying nature, sports, recreation, family, social activities and personal reflection</w:t>
      </w:r>
      <w:r w:rsidR="00862CC9">
        <w:t>;</w:t>
      </w:r>
    </w:p>
    <w:p w14:paraId="554CE309" w14:textId="009DF59C" w:rsidR="00D51F03" w:rsidRDefault="00E777FF" w:rsidP="00D51F03">
      <w:pPr>
        <w:pStyle w:val="ListParagraph"/>
        <w:numPr>
          <w:ilvl w:val="0"/>
          <w:numId w:val="7"/>
        </w:numPr>
        <w:jc w:val="both"/>
      </w:pPr>
      <w:r>
        <w:t>(re)construction of buildings that support social inclusion and community well-being</w:t>
      </w:r>
      <w:r w:rsidR="00862CC9">
        <w:t>;</w:t>
      </w:r>
      <w:r>
        <w:t xml:space="preserve"> </w:t>
      </w:r>
      <w:r w:rsidR="00D51F03">
        <w:t xml:space="preserve"> </w:t>
      </w:r>
    </w:p>
    <w:p w14:paraId="34004025" w14:textId="46E41453" w:rsidR="00BE65BB" w:rsidRPr="00EE14DB" w:rsidRDefault="00210E76" w:rsidP="00093A3C">
      <w:pPr>
        <w:pStyle w:val="ListParagraph"/>
        <w:numPr>
          <w:ilvl w:val="0"/>
          <w:numId w:val="7"/>
        </w:numPr>
        <w:jc w:val="both"/>
      </w:pPr>
      <w:r>
        <w:t>(re)construction of</w:t>
      </w:r>
      <w:r w:rsidR="00BE65BB">
        <w:t xml:space="preserve"> historic </w:t>
      </w:r>
      <w:r w:rsidR="00862CC9">
        <w:t>or</w:t>
      </w:r>
      <w:r w:rsidR="00BE65BB">
        <w:t xml:space="preserve"> notable buildings</w:t>
      </w:r>
      <w:r>
        <w:t xml:space="preserve"> that have artistic or cultural value</w:t>
      </w:r>
      <w:r w:rsidR="00862CC9">
        <w:t>.</w:t>
      </w:r>
    </w:p>
    <w:p w14:paraId="08A989EF" w14:textId="77777777" w:rsidR="00237C77" w:rsidRPr="00EE14DB" w:rsidRDefault="00237C77" w:rsidP="00237C77"/>
    <w:p w14:paraId="1AB70F53" w14:textId="61A1EC0C" w:rsidR="00AC766C" w:rsidRDefault="00AC766C" w:rsidP="00AC766C">
      <w:bookmarkStart w:id="1" w:name="_Hlk19869722"/>
      <w:r>
        <w:lastRenderedPageBreak/>
        <w:t>3. Environmental, climate change and water infrastructure:</w:t>
      </w:r>
    </w:p>
    <w:p w14:paraId="77A033CB" w14:textId="65C4B50A" w:rsidR="00210E76" w:rsidRPr="00EE14DB" w:rsidRDefault="00210E76" w:rsidP="00210E76">
      <w:pPr>
        <w:pStyle w:val="ListParagraph"/>
        <w:numPr>
          <w:ilvl w:val="0"/>
          <w:numId w:val="18"/>
        </w:numPr>
        <w:jc w:val="both"/>
      </w:pPr>
      <w:r w:rsidRPr="00EE14DB">
        <w:t>solid waste management projects: closure and/or rehabilitation of landfills; recycling, sorting or other treatment facilities (re)construction; collection and initial treatment equipment. This needs to be in line with national and EU strategies and guidelines.</w:t>
      </w:r>
    </w:p>
    <w:p w14:paraId="47E054B2" w14:textId="5189D067" w:rsidR="00AC766C" w:rsidRDefault="00210E76" w:rsidP="00AC766C">
      <w:pPr>
        <w:pStyle w:val="ListParagraph"/>
        <w:numPr>
          <w:ilvl w:val="0"/>
          <w:numId w:val="18"/>
        </w:numPr>
        <w:jc w:val="both"/>
      </w:pPr>
      <w:r>
        <w:t>Replacement or introduction</w:t>
      </w:r>
      <w:r w:rsidR="00AC766C">
        <w:t xml:space="preserve"> </w:t>
      </w:r>
      <w:r w:rsidR="00F103D8">
        <w:t xml:space="preserve">of central </w:t>
      </w:r>
      <w:r w:rsidR="00AC766C">
        <w:t xml:space="preserve">heating systems – transition towards sustainable energy sources, for example switching from fossil fuels to more sustainable energy sources; Technical documentation for assessment of the potentials of the use of renewables. </w:t>
      </w:r>
    </w:p>
    <w:bookmarkEnd w:id="1"/>
    <w:p w14:paraId="0E0124CD" w14:textId="05204B6B" w:rsidR="00237C77" w:rsidRPr="00EE14DB" w:rsidRDefault="00237C77" w:rsidP="00093A3C">
      <w:pPr>
        <w:pStyle w:val="ListParagraph"/>
        <w:numPr>
          <w:ilvl w:val="0"/>
          <w:numId w:val="8"/>
        </w:numPr>
        <w:jc w:val="both"/>
      </w:pPr>
      <w:r w:rsidRPr="00EE14DB">
        <w:t xml:space="preserve">water supply projects: protection of sources, construction of pipelines and other parts of </w:t>
      </w:r>
      <w:r w:rsidR="00F103D8">
        <w:t xml:space="preserve">the </w:t>
      </w:r>
      <w:r w:rsidRPr="00EE14DB">
        <w:t>system – treatment facilities, pumps, storage units, etc. (up until households' connections)</w:t>
      </w:r>
    </w:p>
    <w:p w14:paraId="5CED73F5" w14:textId="371241AC" w:rsidR="00237C77" w:rsidRDefault="00237C77" w:rsidP="00093A3C">
      <w:pPr>
        <w:pStyle w:val="ListParagraph"/>
        <w:numPr>
          <w:ilvl w:val="0"/>
          <w:numId w:val="8"/>
        </w:numPr>
        <w:jc w:val="both"/>
      </w:pPr>
      <w:r w:rsidRPr="00EE14DB">
        <w:t>waste-water treatment systems, incl. (re)construction of drainage and sewage systems, (re)construction of waste-water treatment plants;</w:t>
      </w:r>
    </w:p>
    <w:p w14:paraId="526E3B86" w14:textId="13EBBA5E" w:rsidR="00F103D8" w:rsidRPr="00EE14DB" w:rsidRDefault="00F103D8" w:rsidP="00093A3C">
      <w:pPr>
        <w:pStyle w:val="ListParagraph"/>
        <w:numPr>
          <w:ilvl w:val="0"/>
          <w:numId w:val="8"/>
        </w:numPr>
        <w:jc w:val="both"/>
      </w:pPr>
      <w:r>
        <w:t>(re)construction of riverbeds and other flood protection</w:t>
      </w:r>
      <w:r w:rsidR="00E777FF">
        <w:t>/management</w:t>
      </w:r>
      <w:r>
        <w:t xml:space="preserve"> measures.</w:t>
      </w:r>
    </w:p>
    <w:p w14:paraId="1C8673A5" w14:textId="77777777" w:rsidR="001B6741" w:rsidRPr="00EE14DB" w:rsidRDefault="001B6741" w:rsidP="00C453E4">
      <w:pPr>
        <w:rPr>
          <w:u w:val="single"/>
        </w:rPr>
      </w:pPr>
    </w:p>
    <w:p w14:paraId="6D0F3B29" w14:textId="77777777" w:rsidR="00436C87" w:rsidRPr="00EE14DB" w:rsidRDefault="00436C87" w:rsidP="00436C87">
      <w:pPr>
        <w:rPr>
          <w:u w:val="single"/>
        </w:rPr>
      </w:pPr>
      <w:r w:rsidRPr="00EE14DB">
        <w:rPr>
          <w:u w:val="single"/>
        </w:rPr>
        <w:t xml:space="preserve">Non-eligible types and sectors of projects </w:t>
      </w:r>
      <w:r w:rsidR="00542218" w:rsidRPr="00EE14DB">
        <w:rPr>
          <w:u w:val="single"/>
        </w:rPr>
        <w:t xml:space="preserve">under this Call for proposals </w:t>
      </w:r>
      <w:r w:rsidRPr="00EE14DB">
        <w:rPr>
          <w:u w:val="single"/>
        </w:rPr>
        <w:t>are:</w:t>
      </w:r>
    </w:p>
    <w:p w14:paraId="7C5D72E6" w14:textId="42FA098C" w:rsidR="00436C87" w:rsidRPr="00EE14DB" w:rsidRDefault="00436C87" w:rsidP="00093A3C">
      <w:pPr>
        <w:pStyle w:val="ListParagraph"/>
        <w:numPr>
          <w:ilvl w:val="0"/>
          <w:numId w:val="9"/>
        </w:numPr>
        <w:jc w:val="both"/>
      </w:pPr>
      <w:r w:rsidRPr="00EE14DB">
        <w:t>sports' halls, except those adjacent to</w:t>
      </w:r>
      <w:r w:rsidR="00F103D8">
        <w:t xml:space="preserve"> or</w:t>
      </w:r>
      <w:r w:rsidR="00862CC9">
        <w:t xml:space="preserve"> </w:t>
      </w:r>
      <w:r w:rsidRPr="00EE14DB">
        <w:t>primarily used and managed by schools;</w:t>
      </w:r>
    </w:p>
    <w:p w14:paraId="280DEE0C" w14:textId="78C39AD3" w:rsidR="00436C87" w:rsidRPr="00EE14DB" w:rsidRDefault="00436C87" w:rsidP="00093A3C">
      <w:pPr>
        <w:pStyle w:val="ListParagraph"/>
        <w:numPr>
          <w:ilvl w:val="0"/>
          <w:numId w:val="9"/>
        </w:numPr>
        <w:jc w:val="both"/>
      </w:pPr>
      <w:r w:rsidRPr="00EE14DB">
        <w:t xml:space="preserve">any infrastructure project that requires </w:t>
      </w:r>
      <w:r w:rsidR="00F103D8">
        <w:t>resolution</w:t>
      </w:r>
      <w:r w:rsidR="00F103D8" w:rsidRPr="00EE14DB">
        <w:t xml:space="preserve"> </w:t>
      </w:r>
      <w:r w:rsidR="00F103D8">
        <w:t>of</w:t>
      </w:r>
      <w:r w:rsidR="00F103D8" w:rsidRPr="00EE14DB">
        <w:t xml:space="preserve"> </w:t>
      </w:r>
      <w:r w:rsidRPr="00EE14DB">
        <w:t>property issues</w:t>
      </w:r>
      <w:r w:rsidR="00542218" w:rsidRPr="00EE14DB">
        <w:t>, e.g. property rights are not clear, or there are disputes</w:t>
      </w:r>
      <w:r w:rsidRPr="00EE14DB">
        <w:t>;</w:t>
      </w:r>
    </w:p>
    <w:p w14:paraId="39720C04" w14:textId="77777777" w:rsidR="00436C87" w:rsidRPr="00EE14DB" w:rsidRDefault="00436C87" w:rsidP="00093A3C">
      <w:pPr>
        <w:pStyle w:val="ListParagraph"/>
        <w:numPr>
          <w:ilvl w:val="0"/>
          <w:numId w:val="9"/>
        </w:numPr>
        <w:jc w:val="both"/>
      </w:pPr>
      <w:r w:rsidRPr="00EE14DB">
        <w:t xml:space="preserve">any business-related infrastructure project that brings benefits to a single user </w:t>
      </w:r>
      <w:r w:rsidR="00A93B13" w:rsidRPr="00EE14DB">
        <w:t xml:space="preserve">and/or large enterprises(s) </w:t>
      </w:r>
      <w:r w:rsidRPr="00EE14DB">
        <w:t>– company or other legal person, according to the EU rules on autonomous, partner and linked enterprises</w:t>
      </w:r>
      <w:r w:rsidR="00A93B13" w:rsidRPr="00EE14DB">
        <w:rPr>
          <w:rStyle w:val="FootnoteReference"/>
        </w:rPr>
        <w:footnoteReference w:id="3"/>
      </w:r>
      <w:r w:rsidRPr="00EE14DB">
        <w:t>.</w:t>
      </w:r>
    </w:p>
    <w:p w14:paraId="6743BE22" w14:textId="77777777" w:rsidR="00436C87" w:rsidRPr="00EE14DB" w:rsidRDefault="00436C87" w:rsidP="00093A3C">
      <w:pPr>
        <w:pStyle w:val="ListParagraph"/>
        <w:numPr>
          <w:ilvl w:val="0"/>
          <w:numId w:val="9"/>
        </w:numPr>
        <w:jc w:val="both"/>
      </w:pPr>
      <w:r w:rsidRPr="00EE14DB">
        <w:t>any environmental infrastructure project that is not aligned with national and EU strategies, legislation and guidelines.</w:t>
      </w:r>
    </w:p>
    <w:p w14:paraId="2CE1FF89" w14:textId="77777777" w:rsidR="00542218" w:rsidRPr="00EE14DB" w:rsidRDefault="00542218" w:rsidP="00542218"/>
    <w:p w14:paraId="7514F4CC" w14:textId="77777777" w:rsidR="00542218" w:rsidRPr="00EE14DB" w:rsidRDefault="00542218" w:rsidP="00093A3C">
      <w:pPr>
        <w:jc w:val="both"/>
      </w:pPr>
      <w:r w:rsidRPr="00EE14DB">
        <w:t>The lists of both eligible and ineligible project types and sectors presented here are non-exhaustive, and UNDP reserves the right to accept or decline any project proposal not listed here, subject to written explanation and justification.</w:t>
      </w:r>
    </w:p>
    <w:p w14:paraId="400021A2" w14:textId="77777777" w:rsidR="00436C87" w:rsidRPr="00EE14DB" w:rsidRDefault="00436C87" w:rsidP="00C453E4"/>
    <w:p w14:paraId="60171080" w14:textId="77777777" w:rsidR="001B6741" w:rsidRPr="00EE14DB" w:rsidRDefault="001B6741" w:rsidP="001B6741">
      <w:pPr>
        <w:rPr>
          <w:u w:val="single"/>
        </w:rPr>
      </w:pPr>
      <w:r w:rsidRPr="00EE14DB">
        <w:rPr>
          <w:u w:val="single"/>
        </w:rPr>
        <w:t>2.1.3. Eligibility of activities: What types of documentation can be financed from the Call?</w:t>
      </w:r>
    </w:p>
    <w:p w14:paraId="6FE0F7BB" w14:textId="77777777" w:rsidR="002414BC" w:rsidRPr="00EE14DB" w:rsidRDefault="002414BC" w:rsidP="001B6741">
      <w:pPr>
        <w:rPr>
          <w:u w:val="single"/>
        </w:rPr>
      </w:pPr>
    </w:p>
    <w:p w14:paraId="248CBD17" w14:textId="031788D7" w:rsidR="00E05FD5" w:rsidRPr="00EE14DB" w:rsidRDefault="009A2D76" w:rsidP="00093A3C">
      <w:pPr>
        <w:jc w:val="both"/>
      </w:pPr>
      <w:r w:rsidRPr="00EE14DB">
        <w:t>T</w:t>
      </w:r>
      <w:r w:rsidR="00E05FD5" w:rsidRPr="00EE14DB">
        <w:t xml:space="preserve">he following types of project documents are eligible to receive </w:t>
      </w:r>
      <w:r w:rsidR="00236319">
        <w:t>funding</w:t>
      </w:r>
      <w:r w:rsidR="00E05FD5" w:rsidRPr="00EE14DB">
        <w:t>:</w:t>
      </w:r>
    </w:p>
    <w:p w14:paraId="463EF472" w14:textId="38E96112" w:rsidR="00E05FD5" w:rsidRPr="00EE14DB" w:rsidRDefault="00E05FD5" w:rsidP="00093A3C">
      <w:pPr>
        <w:pStyle w:val="ListParagraph"/>
        <w:numPr>
          <w:ilvl w:val="0"/>
          <w:numId w:val="10"/>
        </w:numPr>
        <w:jc w:val="both"/>
      </w:pPr>
      <w:r w:rsidRPr="00EE14DB">
        <w:t xml:space="preserve">construction projects at all stages (preliminary design, main design...) </w:t>
      </w:r>
    </w:p>
    <w:p w14:paraId="78349220" w14:textId="77777777" w:rsidR="002414BC" w:rsidRPr="00EE14DB" w:rsidRDefault="00D70B7C" w:rsidP="00093A3C">
      <w:pPr>
        <w:pStyle w:val="ListParagraph"/>
        <w:numPr>
          <w:ilvl w:val="0"/>
          <w:numId w:val="10"/>
        </w:numPr>
        <w:jc w:val="both"/>
      </w:pPr>
      <w:r w:rsidRPr="00EE14DB">
        <w:t>geodetic</w:t>
      </w:r>
      <w:r w:rsidR="00E05FD5" w:rsidRPr="00EE14DB">
        <w:t xml:space="preserve">, </w:t>
      </w:r>
      <w:r w:rsidR="002414BC" w:rsidRPr="00EE14DB">
        <w:t>geological</w:t>
      </w:r>
      <w:r w:rsidR="00E05FD5" w:rsidRPr="00EE14DB">
        <w:t>,</w:t>
      </w:r>
      <w:r w:rsidR="002414BC" w:rsidRPr="00EE14DB">
        <w:t xml:space="preserve"> </w:t>
      </w:r>
      <w:r w:rsidR="00E05FD5" w:rsidRPr="00EE14DB">
        <w:t>geophysical, geo</w:t>
      </w:r>
      <w:r w:rsidRPr="00EE14DB">
        <w:t>-</w:t>
      </w:r>
      <w:r w:rsidR="00E05FD5" w:rsidRPr="00EE14DB">
        <w:t xml:space="preserve">mechanical </w:t>
      </w:r>
      <w:r w:rsidR="002414BC" w:rsidRPr="00EE14DB">
        <w:t>and hydrological surveys</w:t>
      </w:r>
    </w:p>
    <w:p w14:paraId="13D6D83A" w14:textId="77777777" w:rsidR="002414BC" w:rsidRPr="00EE14DB" w:rsidRDefault="002414BC" w:rsidP="00093A3C">
      <w:pPr>
        <w:pStyle w:val="ListParagraph"/>
        <w:numPr>
          <w:ilvl w:val="0"/>
          <w:numId w:val="10"/>
        </w:numPr>
        <w:jc w:val="both"/>
      </w:pPr>
      <w:r w:rsidRPr="00EE14DB">
        <w:t>feasibility studies</w:t>
      </w:r>
    </w:p>
    <w:p w14:paraId="3431F3A0" w14:textId="77777777" w:rsidR="002414BC" w:rsidRPr="00EE14DB" w:rsidRDefault="002414BC" w:rsidP="00093A3C">
      <w:pPr>
        <w:pStyle w:val="ListParagraph"/>
        <w:numPr>
          <w:ilvl w:val="0"/>
          <w:numId w:val="10"/>
        </w:numPr>
        <w:jc w:val="both"/>
      </w:pPr>
      <w:r w:rsidRPr="00EE14DB">
        <w:t>cost-benefit analyses</w:t>
      </w:r>
    </w:p>
    <w:p w14:paraId="7B5C10B2" w14:textId="77777777" w:rsidR="002414BC" w:rsidRPr="00EE14DB" w:rsidRDefault="002414BC" w:rsidP="00093A3C">
      <w:pPr>
        <w:pStyle w:val="ListParagraph"/>
        <w:numPr>
          <w:ilvl w:val="0"/>
          <w:numId w:val="10"/>
        </w:numPr>
        <w:jc w:val="both"/>
      </w:pPr>
      <w:r w:rsidRPr="00EE14DB">
        <w:t>investment studies &amp; business plans (for business-related infrastructure)</w:t>
      </w:r>
    </w:p>
    <w:p w14:paraId="15F9791F" w14:textId="77777777" w:rsidR="002414BC" w:rsidRPr="00EE14DB" w:rsidRDefault="002414BC" w:rsidP="00093A3C">
      <w:pPr>
        <w:pStyle w:val="ListParagraph"/>
        <w:numPr>
          <w:ilvl w:val="0"/>
          <w:numId w:val="10"/>
        </w:numPr>
        <w:jc w:val="both"/>
      </w:pPr>
      <w:r w:rsidRPr="00EE14DB">
        <w:t>environmental impact assessments</w:t>
      </w:r>
    </w:p>
    <w:p w14:paraId="1EA868DD" w14:textId="6C3DB586" w:rsidR="002414BC" w:rsidRPr="00EE14DB" w:rsidRDefault="002414BC" w:rsidP="00093A3C">
      <w:pPr>
        <w:pStyle w:val="ListParagraph"/>
        <w:numPr>
          <w:ilvl w:val="0"/>
          <w:numId w:val="10"/>
        </w:numPr>
        <w:jc w:val="both"/>
      </w:pPr>
      <w:r w:rsidRPr="00EE14DB">
        <w:t>individual parts of construction projects (electricity, static survey, water and sewage, heating/cooling, etc</w:t>
      </w:r>
      <w:r w:rsidR="00F103D8">
        <w:t>.</w:t>
      </w:r>
      <w:r w:rsidRPr="00EE14DB">
        <w:t>) – only if needed to complete the existing documentation</w:t>
      </w:r>
    </w:p>
    <w:p w14:paraId="3DCBAE84" w14:textId="77777777" w:rsidR="002414BC" w:rsidRPr="00EE14DB" w:rsidRDefault="002414BC" w:rsidP="002414BC"/>
    <w:p w14:paraId="49F2DBB0" w14:textId="77777777" w:rsidR="00E05FD5" w:rsidRPr="00EE14DB" w:rsidRDefault="002414BC" w:rsidP="002414BC">
      <w:r w:rsidRPr="00EE14DB">
        <w:t>Optionally, the following types of documents can be considered eligible</w:t>
      </w:r>
      <w:r w:rsidR="00E05FD5" w:rsidRPr="00EE14DB">
        <w:t>:</w:t>
      </w:r>
      <w:r w:rsidRPr="00EE14DB">
        <w:tab/>
      </w:r>
    </w:p>
    <w:p w14:paraId="04E2D1B2" w14:textId="77777777" w:rsidR="002414BC" w:rsidRPr="00EE14DB" w:rsidRDefault="002414BC" w:rsidP="00093A3C">
      <w:pPr>
        <w:pStyle w:val="ListParagraph"/>
        <w:numPr>
          <w:ilvl w:val="0"/>
          <w:numId w:val="11"/>
        </w:numPr>
        <w:jc w:val="both"/>
      </w:pPr>
      <w:r w:rsidRPr="00EE14DB">
        <w:lastRenderedPageBreak/>
        <w:t>detailed urban plans (plans applying to one or more urban blocks necessary to allow for greenfield and brownfield investment, construction of public facilities, etc.)</w:t>
      </w:r>
      <w:r w:rsidR="009A2D76" w:rsidRPr="00EE14DB">
        <w:t>, in cases where this decision has been reached through public consultations – community forums at least;</w:t>
      </w:r>
    </w:p>
    <w:p w14:paraId="0C935C94" w14:textId="77777777" w:rsidR="002414BC" w:rsidRPr="00EE14DB" w:rsidRDefault="002414BC" w:rsidP="00093A3C">
      <w:pPr>
        <w:pStyle w:val="ListParagraph"/>
        <w:numPr>
          <w:ilvl w:val="0"/>
          <w:numId w:val="11"/>
        </w:numPr>
        <w:jc w:val="both"/>
      </w:pPr>
      <w:r w:rsidRPr="00EE14DB">
        <w:t>revision of the existing sets of project documentation</w:t>
      </w:r>
      <w:r w:rsidR="009A2D76" w:rsidRPr="00EE14DB">
        <w:t>;</w:t>
      </w:r>
    </w:p>
    <w:p w14:paraId="0C53551D" w14:textId="77777777" w:rsidR="002414BC" w:rsidRPr="00EE14DB" w:rsidRDefault="002414BC" w:rsidP="00093A3C">
      <w:pPr>
        <w:pStyle w:val="ListParagraph"/>
        <w:numPr>
          <w:ilvl w:val="0"/>
          <w:numId w:val="11"/>
        </w:numPr>
        <w:jc w:val="both"/>
      </w:pPr>
      <w:r w:rsidRPr="00EE14DB">
        <w:t xml:space="preserve">full sets of application documents for applying to other funds – </w:t>
      </w:r>
      <w:r w:rsidR="009A2D76" w:rsidRPr="00EE14DB">
        <w:t xml:space="preserve">application forms, </w:t>
      </w:r>
      <w:r w:rsidRPr="00EE14DB">
        <w:t>budgets, technical specifications, bills of quantities, etc.</w:t>
      </w:r>
      <w:r w:rsidR="009A2D76" w:rsidRPr="00EE14DB">
        <w:t>;</w:t>
      </w:r>
    </w:p>
    <w:p w14:paraId="73F4E79D" w14:textId="77777777" w:rsidR="002414BC" w:rsidRDefault="002414BC" w:rsidP="00093A3C">
      <w:pPr>
        <w:pStyle w:val="ListParagraph"/>
        <w:numPr>
          <w:ilvl w:val="0"/>
          <w:numId w:val="11"/>
        </w:numPr>
        <w:jc w:val="both"/>
      </w:pPr>
      <w:bookmarkStart w:id="2" w:name="_Hlk19869745"/>
      <w:r w:rsidRPr="00EE14DB">
        <w:t>technical specifications for complex equipment (for example waste management equipment)</w:t>
      </w:r>
    </w:p>
    <w:p w14:paraId="148D1341" w14:textId="1669B930" w:rsidR="002414BC" w:rsidRPr="00EE14DB" w:rsidRDefault="002414BC" w:rsidP="00093A3C">
      <w:pPr>
        <w:pStyle w:val="ListParagraph"/>
        <w:numPr>
          <w:ilvl w:val="0"/>
          <w:numId w:val="11"/>
        </w:numPr>
        <w:jc w:val="both"/>
      </w:pPr>
      <w:r w:rsidRPr="00EE14DB">
        <w:t>technical-technological studies, etc.</w:t>
      </w:r>
    </w:p>
    <w:bookmarkEnd w:id="2"/>
    <w:p w14:paraId="032865CE" w14:textId="77777777" w:rsidR="002414BC" w:rsidRPr="00EE14DB" w:rsidRDefault="002414BC" w:rsidP="00093A3C">
      <w:pPr>
        <w:jc w:val="both"/>
        <w:rPr>
          <w:u w:val="single"/>
        </w:rPr>
      </w:pPr>
    </w:p>
    <w:p w14:paraId="3FD6445C" w14:textId="77777777" w:rsidR="009A2D76" w:rsidRPr="00EE14DB" w:rsidRDefault="009A2D76" w:rsidP="00093A3C">
      <w:pPr>
        <w:jc w:val="both"/>
      </w:pPr>
      <w:r w:rsidRPr="00EE14DB">
        <w:t>The lists of both eligible and conditionally eligible types of project documents presented here are non-exhaustive, and UNDP reserves the right to accept or decline any application for project documentation not listed here, subject to written explanation and justification.</w:t>
      </w:r>
    </w:p>
    <w:p w14:paraId="1A0963EE" w14:textId="77777777" w:rsidR="009A2D76" w:rsidRPr="00EE14DB" w:rsidRDefault="009A2D76" w:rsidP="001B6741">
      <w:pPr>
        <w:rPr>
          <w:u w:val="single"/>
        </w:rPr>
      </w:pPr>
    </w:p>
    <w:p w14:paraId="754B5828" w14:textId="77777777" w:rsidR="009A2D76" w:rsidRPr="00EE14DB" w:rsidRDefault="00093A3C" w:rsidP="001B6741">
      <w:pPr>
        <w:rPr>
          <w:u w:val="single"/>
        </w:rPr>
      </w:pPr>
      <w:r w:rsidRPr="00EE14DB">
        <w:rPr>
          <w:u w:val="single"/>
        </w:rPr>
        <w:t>2.1.4</w:t>
      </w:r>
      <w:r w:rsidR="009A2D76" w:rsidRPr="00EE14DB">
        <w:rPr>
          <w:u w:val="single"/>
        </w:rPr>
        <w:t>. Eligibility of costs</w:t>
      </w:r>
    </w:p>
    <w:p w14:paraId="6681E74C" w14:textId="77777777" w:rsidR="009A2D76" w:rsidRPr="00EE14DB" w:rsidRDefault="009A2D76" w:rsidP="001B6741">
      <w:pPr>
        <w:rPr>
          <w:u w:val="single"/>
        </w:rPr>
      </w:pPr>
    </w:p>
    <w:p w14:paraId="209336B0" w14:textId="77777777" w:rsidR="00D70B7C" w:rsidRPr="00EE14DB" w:rsidRDefault="00D70B7C" w:rsidP="00233D05">
      <w:pPr>
        <w:jc w:val="both"/>
      </w:pPr>
      <w:r w:rsidRPr="00EE14DB">
        <w:t xml:space="preserve">Eligible costs under this Call for proposals are </w:t>
      </w:r>
      <w:r w:rsidR="00233D05" w:rsidRPr="00EE14DB">
        <w:t xml:space="preserve">all </w:t>
      </w:r>
      <w:r w:rsidRPr="00EE14DB">
        <w:t xml:space="preserve">services </w:t>
      </w:r>
      <w:r w:rsidR="00233D05" w:rsidRPr="00EE14DB">
        <w:t xml:space="preserve">provided by third parties necessary to produce the required technical documentation. </w:t>
      </w:r>
    </w:p>
    <w:p w14:paraId="4AA5BCE0" w14:textId="77777777" w:rsidR="00233D05" w:rsidRPr="00EE14DB" w:rsidRDefault="00233D05" w:rsidP="001B6741">
      <w:r w:rsidRPr="00EE14DB">
        <w:t>Non-eligible costs are:</w:t>
      </w:r>
    </w:p>
    <w:p w14:paraId="534BCD64" w14:textId="77777777" w:rsidR="00233D05" w:rsidRPr="00EE14DB" w:rsidRDefault="00233D05" w:rsidP="00233D05">
      <w:pPr>
        <w:pStyle w:val="ListParagraph"/>
        <w:numPr>
          <w:ilvl w:val="0"/>
          <w:numId w:val="12"/>
        </w:numPr>
      </w:pPr>
      <w:r w:rsidRPr="00EE14DB">
        <w:t>Management or other fees for municipal staff;</w:t>
      </w:r>
    </w:p>
    <w:p w14:paraId="1E136460" w14:textId="77777777" w:rsidR="00233D05" w:rsidRPr="00EE14DB" w:rsidRDefault="00233D05" w:rsidP="00233D05">
      <w:pPr>
        <w:pStyle w:val="ListParagraph"/>
        <w:numPr>
          <w:ilvl w:val="0"/>
          <w:numId w:val="12"/>
        </w:numPr>
      </w:pPr>
      <w:r w:rsidRPr="00EE14DB">
        <w:t xml:space="preserve">Per-diems or </w:t>
      </w:r>
      <w:r w:rsidR="00E17194" w:rsidRPr="00EE14DB">
        <w:t>travel costs</w:t>
      </w:r>
      <w:r w:rsidRPr="00EE14DB">
        <w:t>;</w:t>
      </w:r>
    </w:p>
    <w:p w14:paraId="68FE71B1" w14:textId="70F2224D" w:rsidR="00233D05" w:rsidRPr="00EE14DB" w:rsidRDefault="00233D05" w:rsidP="00233D05">
      <w:pPr>
        <w:pStyle w:val="ListParagraph"/>
        <w:numPr>
          <w:ilvl w:val="0"/>
          <w:numId w:val="12"/>
        </w:numPr>
      </w:pPr>
      <w:r w:rsidRPr="00EE14DB">
        <w:t>Costs of equipment necessary for measurements, surveys, etc.</w:t>
      </w:r>
    </w:p>
    <w:p w14:paraId="045C83B2" w14:textId="77777777" w:rsidR="009A2D76" w:rsidRPr="00EE14DB" w:rsidRDefault="009A2D76" w:rsidP="001B6741">
      <w:pPr>
        <w:rPr>
          <w:u w:val="single"/>
        </w:rPr>
      </w:pPr>
    </w:p>
    <w:p w14:paraId="6C3508D2" w14:textId="77777777" w:rsidR="001B6741" w:rsidRPr="00EE14DB" w:rsidRDefault="00093A3C" w:rsidP="001B6741">
      <w:pPr>
        <w:rPr>
          <w:u w:val="single"/>
        </w:rPr>
      </w:pPr>
      <w:r w:rsidRPr="00EE14DB">
        <w:rPr>
          <w:u w:val="single"/>
        </w:rPr>
        <w:t>2.1.5</w:t>
      </w:r>
      <w:r w:rsidR="00233D05" w:rsidRPr="00EE14DB">
        <w:rPr>
          <w:u w:val="single"/>
        </w:rPr>
        <w:t>. Applicants’ co-financing</w:t>
      </w:r>
    </w:p>
    <w:p w14:paraId="49A0533B" w14:textId="77777777" w:rsidR="00E17194" w:rsidRPr="00EE14DB" w:rsidRDefault="00E17194" w:rsidP="001B6741">
      <w:pPr>
        <w:rPr>
          <w:u w:val="single"/>
        </w:rPr>
      </w:pPr>
    </w:p>
    <w:p w14:paraId="26A5CA7D" w14:textId="2367BDCE" w:rsidR="00233D05" w:rsidRPr="00EE14DB" w:rsidRDefault="00E17194" w:rsidP="0085310F">
      <w:pPr>
        <w:jc w:val="both"/>
      </w:pPr>
      <w:r w:rsidRPr="00EE14DB">
        <w:t>In cases where the final established amount for contracting exceeds the limits set in point 1.</w:t>
      </w:r>
      <w:r w:rsidR="006F2FB8">
        <w:t>4</w:t>
      </w:r>
      <w:r w:rsidRPr="00EE14DB">
        <w:t xml:space="preserve">. above, the applicant(s) will be required to provide co-financing up to the final amount from own or other resources. </w:t>
      </w:r>
    </w:p>
    <w:p w14:paraId="4155DEE6" w14:textId="141AE933" w:rsidR="00E17194" w:rsidRPr="00EE14DB" w:rsidRDefault="00E17194" w:rsidP="0085310F">
      <w:pPr>
        <w:jc w:val="both"/>
      </w:pPr>
      <w:r w:rsidRPr="00EE14DB">
        <w:t>UNDP will manage the procurement of services and will be responsible for executing the contracts with third parties</w:t>
      </w:r>
      <w:r w:rsidR="00592577" w:rsidRPr="00EE14DB">
        <w:t xml:space="preserve">, </w:t>
      </w:r>
      <w:r w:rsidR="0085310F" w:rsidRPr="00EE14DB">
        <w:t>e.g. payments to service providers. For this reason</w:t>
      </w:r>
      <w:r w:rsidR="00E1331B">
        <w:t>,</w:t>
      </w:r>
      <w:r w:rsidR="0085310F" w:rsidRPr="00EE14DB">
        <w:t xml:space="preserve"> </w:t>
      </w:r>
      <w:r w:rsidR="00592577" w:rsidRPr="00EE14DB">
        <w:t xml:space="preserve">the applicants will be required to sign a cost-sharing agreement and transfer the </w:t>
      </w:r>
      <w:r w:rsidR="0085310F" w:rsidRPr="00EE14DB">
        <w:t xml:space="preserve">required </w:t>
      </w:r>
      <w:r w:rsidR="00592577" w:rsidRPr="00EE14DB">
        <w:t>funds to UNDP according to UNDP standard procedures and schedule determined by contract</w:t>
      </w:r>
      <w:r w:rsidR="0085310F" w:rsidRPr="00EE14DB">
        <w:t>.</w:t>
      </w:r>
    </w:p>
    <w:p w14:paraId="1654EDF5" w14:textId="77777777" w:rsidR="00233D05" w:rsidRPr="00EE14DB" w:rsidRDefault="00233D05" w:rsidP="001B6741">
      <w:pPr>
        <w:rPr>
          <w:u w:val="single"/>
        </w:rPr>
      </w:pPr>
    </w:p>
    <w:p w14:paraId="53397FA8" w14:textId="77777777" w:rsidR="001B6741" w:rsidRPr="00EE14DB" w:rsidRDefault="001B6741" w:rsidP="001B6741">
      <w:pPr>
        <w:rPr>
          <w:u w:val="single"/>
        </w:rPr>
      </w:pPr>
      <w:r w:rsidRPr="00EE14DB">
        <w:rPr>
          <w:u w:val="single"/>
        </w:rPr>
        <w:t>2.1.6. Other pre-conditions</w:t>
      </w:r>
    </w:p>
    <w:p w14:paraId="5FE33DF3" w14:textId="77777777" w:rsidR="00CE3AD9" w:rsidRPr="00EE14DB" w:rsidRDefault="00CE3AD9" w:rsidP="00C453E4"/>
    <w:p w14:paraId="5F31EAA9" w14:textId="6770FB81" w:rsidR="00BE0E2D" w:rsidRPr="004C3A81" w:rsidRDefault="0044635D" w:rsidP="00236319">
      <w:r w:rsidRPr="00EE14DB">
        <w:t xml:space="preserve">In order to secure accurate data for evaluation of the applications, the municipalities that have not yet submitted all requested data for calculation of the Municipal development index will be required </w:t>
      </w:r>
      <w:r w:rsidRPr="00236319">
        <w:t xml:space="preserve">to do so </w:t>
      </w:r>
      <w:r w:rsidR="00236319" w:rsidRPr="00236319">
        <w:t xml:space="preserve">together </w:t>
      </w:r>
      <w:r w:rsidR="00BE0E2D" w:rsidRPr="00236319">
        <w:t>with the rest of application documents</w:t>
      </w:r>
      <w:r w:rsidR="00236319">
        <w:t>.</w:t>
      </w:r>
    </w:p>
    <w:p w14:paraId="55098761" w14:textId="77777777" w:rsidR="0044635D" w:rsidRPr="00EE14DB" w:rsidRDefault="0044635D" w:rsidP="00C453E4"/>
    <w:p w14:paraId="699B786A" w14:textId="77777777" w:rsidR="0044635D" w:rsidRPr="00EE14DB" w:rsidRDefault="0044635D" w:rsidP="0044635D">
      <w:pPr>
        <w:rPr>
          <w:b/>
        </w:rPr>
      </w:pPr>
      <w:r w:rsidRPr="00EE14DB">
        <w:rPr>
          <w:b/>
        </w:rPr>
        <w:t>2.2. Application procedure and content</w:t>
      </w:r>
      <w:r w:rsidRPr="00EE14DB">
        <w:rPr>
          <w:b/>
        </w:rPr>
        <w:tab/>
      </w:r>
    </w:p>
    <w:p w14:paraId="0C677518" w14:textId="77777777" w:rsidR="0044635D" w:rsidRPr="00EE14DB" w:rsidRDefault="0044635D" w:rsidP="0044635D">
      <w:pPr>
        <w:rPr>
          <w:u w:val="single"/>
        </w:rPr>
      </w:pPr>
    </w:p>
    <w:p w14:paraId="7803D37C" w14:textId="77777777" w:rsidR="0044635D" w:rsidRPr="00EE14DB" w:rsidRDefault="0044635D" w:rsidP="0044635D">
      <w:pPr>
        <w:rPr>
          <w:u w:val="single"/>
        </w:rPr>
      </w:pPr>
      <w:r w:rsidRPr="00EE14DB">
        <w:rPr>
          <w:u w:val="single"/>
        </w:rPr>
        <w:t>2.2.1. Content of the Application</w:t>
      </w:r>
    </w:p>
    <w:p w14:paraId="45D53DF9" w14:textId="77777777" w:rsidR="00BE0E2D" w:rsidRPr="00EE14DB" w:rsidRDefault="00BE0E2D" w:rsidP="0044635D">
      <w:pPr>
        <w:rPr>
          <w:u w:val="single"/>
        </w:rPr>
      </w:pPr>
    </w:p>
    <w:p w14:paraId="20B75219" w14:textId="77777777" w:rsidR="00BE0E2D" w:rsidRPr="00EE14DB" w:rsidRDefault="00BE0E2D" w:rsidP="0044635D">
      <w:r w:rsidRPr="00EE14DB">
        <w:lastRenderedPageBreak/>
        <w:t>The mandatory application “package” consists of:</w:t>
      </w:r>
    </w:p>
    <w:p w14:paraId="33D55E5A" w14:textId="77777777" w:rsidR="00BE0E2D" w:rsidRPr="00EE14DB" w:rsidRDefault="00BE0E2D" w:rsidP="00BE0E2D">
      <w:pPr>
        <w:pStyle w:val="ListParagraph"/>
        <w:numPr>
          <w:ilvl w:val="0"/>
          <w:numId w:val="14"/>
        </w:numPr>
      </w:pPr>
      <w:r w:rsidRPr="00EE14DB">
        <w:t>Application form (signed and stamped)</w:t>
      </w:r>
    </w:p>
    <w:p w14:paraId="1B91714C" w14:textId="77777777" w:rsidR="00BE0E2D" w:rsidRPr="00EE14DB" w:rsidRDefault="00BE0E2D" w:rsidP="00BE0E2D">
      <w:pPr>
        <w:pStyle w:val="ListParagraph"/>
        <w:numPr>
          <w:ilvl w:val="0"/>
          <w:numId w:val="14"/>
        </w:numPr>
      </w:pPr>
      <w:r w:rsidRPr="00EE14DB">
        <w:t>Supporting documents: studies, reports, decisions – only if they are referred to in the Application form</w:t>
      </w:r>
    </w:p>
    <w:p w14:paraId="35B438D7" w14:textId="77777777" w:rsidR="00BE0E2D" w:rsidRPr="00EE14DB" w:rsidRDefault="00BE0E2D" w:rsidP="0044635D">
      <w:pPr>
        <w:rPr>
          <w:u w:val="single"/>
        </w:rPr>
      </w:pPr>
    </w:p>
    <w:p w14:paraId="5DF56DD7" w14:textId="77777777" w:rsidR="004F733A" w:rsidRPr="00EE14DB" w:rsidRDefault="004F733A" w:rsidP="0044635D">
      <w:r w:rsidRPr="00EE14DB">
        <w:t>Application form cannot be altered in any way, except for adding (copying) additional tables for “Applicant Basic information”</w:t>
      </w:r>
      <w:r w:rsidR="00392EE2" w:rsidRPr="00EE14DB">
        <w:t xml:space="preserve">, in cases of partnership applications. </w:t>
      </w:r>
    </w:p>
    <w:p w14:paraId="2B83B3DD" w14:textId="77777777" w:rsidR="004F733A" w:rsidRPr="00EE14DB" w:rsidRDefault="004F733A" w:rsidP="0044635D"/>
    <w:p w14:paraId="7697E831" w14:textId="77777777" w:rsidR="004F733A" w:rsidRPr="00EE14DB" w:rsidRDefault="0044635D" w:rsidP="0044635D">
      <w:pPr>
        <w:rPr>
          <w:u w:val="single"/>
        </w:rPr>
      </w:pPr>
      <w:r w:rsidRPr="00EE14DB">
        <w:rPr>
          <w:u w:val="single"/>
        </w:rPr>
        <w:t>2.2.2. Where</w:t>
      </w:r>
      <w:r w:rsidR="004F733A" w:rsidRPr="00EE14DB">
        <w:rPr>
          <w:u w:val="single"/>
        </w:rPr>
        <w:t xml:space="preserve"> and how to submit application?</w:t>
      </w:r>
    </w:p>
    <w:p w14:paraId="3CB3A7DF" w14:textId="77777777" w:rsidR="004F733A" w:rsidRPr="00EE14DB" w:rsidRDefault="004F733A" w:rsidP="0044635D">
      <w:pPr>
        <w:rPr>
          <w:u w:val="single"/>
        </w:rPr>
      </w:pPr>
    </w:p>
    <w:p w14:paraId="6386C787" w14:textId="07FB7E54" w:rsidR="007A31C7" w:rsidRDefault="007A31C7" w:rsidP="007A31C7">
      <w:pPr>
        <w:pStyle w:val="ListParagraph"/>
        <w:numPr>
          <w:ilvl w:val="0"/>
          <w:numId w:val="15"/>
        </w:numPr>
      </w:pPr>
      <w:r w:rsidRPr="004C3A81">
        <w:t xml:space="preserve">Application form in electronic format </w:t>
      </w:r>
      <w:r>
        <w:t xml:space="preserve">must be delivered </w:t>
      </w:r>
      <w:r w:rsidRPr="00E50FA2">
        <w:rPr>
          <w:b/>
        </w:rPr>
        <w:t>by email</w:t>
      </w:r>
      <w:r>
        <w:t xml:space="preserve"> to </w:t>
      </w:r>
      <w:hyperlink r:id="rId11" w:history="1">
        <w:r w:rsidRPr="00E50FA2">
          <w:rPr>
            <w:rStyle w:val="Hyperlink"/>
            <w:b/>
          </w:rPr>
          <w:t>info@lokalenrazvoj.mk</w:t>
        </w:r>
      </w:hyperlink>
      <w:r w:rsidR="001A08A5" w:rsidRPr="00377192">
        <w:t xml:space="preserve"> </w:t>
      </w:r>
      <w:bookmarkStart w:id="3" w:name="_Hlk21423259"/>
      <w:r w:rsidR="001A08A5" w:rsidRPr="00377192">
        <w:t>with</w:t>
      </w:r>
      <w:r w:rsidR="001A08A5">
        <w:t xml:space="preserve"> email subject </w:t>
      </w:r>
      <w:r w:rsidR="001A08A5">
        <w:rPr>
          <w:b/>
        </w:rPr>
        <w:t xml:space="preserve">MUNICIPALITY OF </w:t>
      </w:r>
      <w:r w:rsidR="001A08A5" w:rsidRPr="00377192">
        <w:rPr>
          <w:b/>
        </w:rPr>
        <w:t>[</w:t>
      </w:r>
      <w:r w:rsidR="001A08A5" w:rsidRPr="001A08A5">
        <w:rPr>
          <w:b/>
        </w:rPr>
        <w:t>name of municipality</w:t>
      </w:r>
      <w:r w:rsidR="001A08A5" w:rsidRPr="00377192">
        <w:rPr>
          <w:b/>
        </w:rPr>
        <w:t>] – APPLICATION TO THE TECHNICAL DOCUMENTATION FUND</w:t>
      </w:r>
      <w:bookmarkEnd w:id="3"/>
      <w:r>
        <w:t xml:space="preserve">; </w:t>
      </w:r>
      <w:r w:rsidR="00EB6B8D" w:rsidRPr="00EB6B8D">
        <w:rPr>
          <w:b/>
          <w:color w:val="FF0000"/>
        </w:rPr>
        <w:t>AND</w:t>
      </w:r>
    </w:p>
    <w:p w14:paraId="44A161AE" w14:textId="0741F3AA" w:rsidR="007A31C7" w:rsidRPr="008E01F6" w:rsidRDefault="007A31C7" w:rsidP="007A31C7">
      <w:pPr>
        <w:pStyle w:val="ListParagraph"/>
        <w:numPr>
          <w:ilvl w:val="0"/>
          <w:numId w:val="15"/>
        </w:numPr>
      </w:pPr>
      <w:r w:rsidRPr="004C3A81">
        <w:t>Signed</w:t>
      </w:r>
      <w:r>
        <w:t xml:space="preserve"> </w:t>
      </w:r>
      <w:r w:rsidRPr="004C3A81">
        <w:t xml:space="preserve">original </w:t>
      </w:r>
      <w:r w:rsidR="001A08A5">
        <w:t>a</w:t>
      </w:r>
      <w:r w:rsidR="001A08A5" w:rsidRPr="004C3A81">
        <w:t xml:space="preserve">pplication form </w:t>
      </w:r>
      <w:r w:rsidRPr="004C3A81">
        <w:t xml:space="preserve">and supporting documents in paper versions </w:t>
      </w:r>
      <w:r>
        <w:t xml:space="preserve">must be delivered </w:t>
      </w:r>
      <w:r w:rsidRPr="00E50FA2">
        <w:rPr>
          <w:b/>
        </w:rPr>
        <w:t>by post</w:t>
      </w:r>
      <w:r>
        <w:t xml:space="preserve"> addressed to: </w:t>
      </w:r>
      <w:bookmarkStart w:id="4" w:name="_Hlk21422291"/>
      <w:r w:rsidR="008E01F6">
        <w:rPr>
          <w:b/>
        </w:rPr>
        <w:t>UNDP SKOPJE</w:t>
      </w:r>
      <w:r w:rsidRPr="00377192">
        <w:rPr>
          <w:b/>
        </w:rPr>
        <w:t xml:space="preserve">, </w:t>
      </w:r>
      <w:r w:rsidR="008E01F6">
        <w:rPr>
          <w:b/>
        </w:rPr>
        <w:t>UL</w:t>
      </w:r>
      <w:r w:rsidRPr="00377192">
        <w:rPr>
          <w:b/>
        </w:rPr>
        <w:t xml:space="preserve">. </w:t>
      </w:r>
      <w:r w:rsidR="008E01F6">
        <w:rPr>
          <w:b/>
        </w:rPr>
        <w:t>“JORDAN HADZIKONSTANTINOV DZINOT”</w:t>
      </w:r>
      <w:r w:rsidRPr="00377192">
        <w:rPr>
          <w:b/>
        </w:rPr>
        <w:t xml:space="preserve"> </w:t>
      </w:r>
      <w:r w:rsidR="008E01F6">
        <w:rPr>
          <w:b/>
        </w:rPr>
        <w:t>NO</w:t>
      </w:r>
      <w:r w:rsidRPr="00377192">
        <w:rPr>
          <w:b/>
        </w:rPr>
        <w:t>.23</w:t>
      </w:r>
      <w:r w:rsidR="00A47324" w:rsidRPr="00377192">
        <w:rPr>
          <w:b/>
        </w:rPr>
        <w:t xml:space="preserve">, </w:t>
      </w:r>
      <w:r w:rsidR="008E01F6">
        <w:rPr>
          <w:b/>
        </w:rPr>
        <w:t xml:space="preserve">SKOPJE </w:t>
      </w:r>
      <w:r w:rsidR="00A47324" w:rsidRPr="00377192">
        <w:rPr>
          <w:b/>
        </w:rPr>
        <w:t>1000</w:t>
      </w:r>
      <w:bookmarkEnd w:id="4"/>
      <w:r w:rsidRPr="008E01F6">
        <w:t>, and marked as</w:t>
      </w:r>
      <w:r w:rsidR="00A47324" w:rsidRPr="008E01F6">
        <w:t>:</w:t>
      </w:r>
      <w:r w:rsidRPr="00377192">
        <w:t xml:space="preserve"> </w:t>
      </w:r>
      <w:bookmarkStart w:id="5" w:name="_Hlk21422313"/>
      <w:r w:rsidR="008E01F6" w:rsidRPr="00626E5D">
        <w:rPr>
          <w:b/>
        </w:rPr>
        <w:t>APPLICATION TO THE TECHNICAL DOCUMENTATION FUND</w:t>
      </w:r>
      <w:r w:rsidRPr="00377192">
        <w:rPr>
          <w:b/>
        </w:rPr>
        <w:t xml:space="preserve"> – </w:t>
      </w:r>
      <w:r w:rsidR="008E01F6">
        <w:rPr>
          <w:b/>
        </w:rPr>
        <w:t xml:space="preserve">PROJECT </w:t>
      </w:r>
      <w:r w:rsidRPr="00377192">
        <w:rPr>
          <w:b/>
        </w:rPr>
        <w:t>106869</w:t>
      </w:r>
      <w:bookmarkEnd w:id="5"/>
      <w:r w:rsidRPr="00377192">
        <w:rPr>
          <w:b/>
        </w:rPr>
        <w:t>.</w:t>
      </w:r>
      <w:r w:rsidRPr="00377192">
        <w:t xml:space="preserve"> </w:t>
      </w:r>
    </w:p>
    <w:p w14:paraId="7366488F" w14:textId="77777777" w:rsidR="004F733A" w:rsidRPr="00EE14DB" w:rsidRDefault="004F733A" w:rsidP="0044635D">
      <w:pPr>
        <w:rPr>
          <w:u w:val="single"/>
        </w:rPr>
      </w:pPr>
    </w:p>
    <w:p w14:paraId="35FA896A" w14:textId="77777777" w:rsidR="0044635D" w:rsidRPr="00EE14DB" w:rsidRDefault="004F733A" w:rsidP="0044635D">
      <w:pPr>
        <w:rPr>
          <w:u w:val="single"/>
        </w:rPr>
      </w:pPr>
      <w:r w:rsidRPr="00EE14DB">
        <w:rPr>
          <w:u w:val="single"/>
        </w:rPr>
        <w:t>2.2.3. Application deadline</w:t>
      </w:r>
    </w:p>
    <w:p w14:paraId="67767DE6" w14:textId="77777777" w:rsidR="004F733A" w:rsidRPr="00EE14DB" w:rsidRDefault="004F733A" w:rsidP="0044635D">
      <w:pPr>
        <w:rPr>
          <w:u w:val="single"/>
        </w:rPr>
      </w:pPr>
    </w:p>
    <w:p w14:paraId="47C8CAF4" w14:textId="0ADB182B" w:rsidR="004F733A" w:rsidRPr="00A47324" w:rsidRDefault="00BA678F" w:rsidP="00377192">
      <w:pPr>
        <w:pStyle w:val="ListParagraph"/>
        <w:numPr>
          <w:ilvl w:val="0"/>
          <w:numId w:val="15"/>
        </w:numPr>
        <w:rPr>
          <w:b/>
        </w:rPr>
      </w:pPr>
      <w:r w:rsidRPr="00BA678F">
        <w:rPr>
          <w:b/>
          <w:color w:val="FF0000"/>
        </w:rPr>
        <w:t>30</w:t>
      </w:r>
      <w:r w:rsidR="007E5206" w:rsidRPr="00BA678F">
        <w:rPr>
          <w:b/>
          <w:color w:val="FF0000"/>
        </w:rPr>
        <w:t xml:space="preserve"> </w:t>
      </w:r>
      <w:r w:rsidR="00202411" w:rsidRPr="00BA678F">
        <w:rPr>
          <w:b/>
          <w:color w:val="FF0000"/>
        </w:rPr>
        <w:t>November 2019</w:t>
      </w:r>
    </w:p>
    <w:p w14:paraId="7D1EC9C7" w14:textId="77777777" w:rsidR="004F733A" w:rsidRPr="00EE14DB" w:rsidRDefault="004F733A" w:rsidP="0044635D">
      <w:pPr>
        <w:rPr>
          <w:u w:val="single"/>
        </w:rPr>
      </w:pPr>
    </w:p>
    <w:p w14:paraId="212FE103" w14:textId="77777777" w:rsidR="00392EE2" w:rsidRPr="00EE14DB" w:rsidRDefault="0044635D" w:rsidP="0044635D">
      <w:pPr>
        <w:rPr>
          <w:u w:val="single"/>
        </w:rPr>
      </w:pPr>
      <w:r w:rsidRPr="00EE14DB">
        <w:rPr>
          <w:u w:val="single"/>
        </w:rPr>
        <w:t>2.2.4. Additional information</w:t>
      </w:r>
    </w:p>
    <w:p w14:paraId="44D80489" w14:textId="07A9F8CA" w:rsidR="00392EE2" w:rsidRPr="004C3A81" w:rsidRDefault="00392EE2" w:rsidP="004C3A81">
      <w:pPr>
        <w:rPr>
          <w:u w:val="single"/>
        </w:rPr>
      </w:pPr>
    </w:p>
    <w:p w14:paraId="6D8D469C" w14:textId="18EED004" w:rsidR="004F733A" w:rsidRDefault="004A704B" w:rsidP="00536425">
      <w:pPr>
        <w:jc w:val="both"/>
      </w:pPr>
      <w:r w:rsidRPr="00EE14DB">
        <w:t xml:space="preserve">During the Call </w:t>
      </w:r>
      <w:r w:rsidR="003102B9" w:rsidRPr="00EE14DB">
        <w:t xml:space="preserve">application </w:t>
      </w:r>
      <w:r w:rsidRPr="00EE14DB">
        <w:t xml:space="preserve">period, the potential applicants will have a chance to ask questions and clarifications regarding the Call. The questions should be addressed to the following e-mail: </w:t>
      </w:r>
      <w:hyperlink r:id="rId12" w:history="1">
        <w:r w:rsidR="007E5206" w:rsidRPr="004C4ABB">
          <w:rPr>
            <w:rStyle w:val="Hyperlink"/>
          </w:rPr>
          <w:t>filip.nelkovski</w:t>
        </w:r>
        <w:r w:rsidR="007E5206" w:rsidRPr="004C3A81">
          <w:rPr>
            <w:rStyle w:val="Hyperlink"/>
          </w:rPr>
          <w:t>@undp.org</w:t>
        </w:r>
      </w:hyperlink>
      <w:r w:rsidR="003102B9" w:rsidRPr="00EE14DB">
        <w:t>.</w:t>
      </w:r>
      <w:r w:rsidR="00202411">
        <w:t xml:space="preserve"> </w:t>
      </w:r>
    </w:p>
    <w:p w14:paraId="795B2479" w14:textId="77777777" w:rsidR="004C4ABB" w:rsidRPr="00EE14DB" w:rsidRDefault="004C4ABB" w:rsidP="00536425">
      <w:pPr>
        <w:jc w:val="both"/>
        <w:rPr>
          <w:rFonts w:cstheme="minorHAnsi"/>
        </w:rPr>
      </w:pPr>
    </w:p>
    <w:p w14:paraId="5FDACEA6" w14:textId="052C0F42" w:rsidR="004A704B" w:rsidRPr="00EE14DB" w:rsidRDefault="004A704B" w:rsidP="00536425">
      <w:pPr>
        <w:jc w:val="both"/>
        <w:rPr>
          <w:rFonts w:cstheme="minorHAnsi"/>
        </w:rPr>
      </w:pPr>
      <w:r w:rsidRPr="00EE14DB">
        <w:rPr>
          <w:rFonts w:cstheme="minorHAnsi"/>
        </w:rPr>
        <w:t xml:space="preserve">The questions will be answered at the project web </w:t>
      </w:r>
      <w:r w:rsidRPr="004C3A81">
        <w:t xml:space="preserve">site </w:t>
      </w:r>
      <w:r w:rsidR="003102B9" w:rsidRPr="00EE14DB">
        <w:rPr>
          <w:rFonts w:cstheme="minorHAnsi"/>
        </w:rPr>
        <w:t xml:space="preserve">regularly </w:t>
      </w:r>
      <w:r w:rsidR="00F953CF">
        <w:rPr>
          <w:rFonts w:cstheme="minorHAnsi"/>
        </w:rPr>
        <w:t>once a week</w:t>
      </w:r>
      <w:r w:rsidR="003102B9" w:rsidRPr="00EE14DB">
        <w:rPr>
          <w:rFonts w:cstheme="minorHAnsi"/>
        </w:rPr>
        <w:t xml:space="preserve"> during the Call, in such a way that both</w:t>
      </w:r>
      <w:r w:rsidR="00E24956">
        <w:rPr>
          <w:rFonts w:cstheme="minorHAnsi"/>
        </w:rPr>
        <w:t>,</w:t>
      </w:r>
      <w:r w:rsidR="003102B9" w:rsidRPr="00EE14DB">
        <w:rPr>
          <w:rFonts w:cstheme="minorHAnsi"/>
        </w:rPr>
        <w:t xml:space="preserve"> questions and answers are visible to all potential applicants. Questions will be allowed up to five days before the Call closure.</w:t>
      </w:r>
    </w:p>
    <w:p w14:paraId="4E9A1320" w14:textId="77777777" w:rsidR="00E24956" w:rsidRDefault="00E24956" w:rsidP="00536425">
      <w:pPr>
        <w:jc w:val="both"/>
        <w:rPr>
          <w:rFonts w:cstheme="minorHAnsi"/>
        </w:rPr>
      </w:pPr>
      <w:bookmarkStart w:id="6" w:name="_GoBack"/>
      <w:bookmarkEnd w:id="6"/>
    </w:p>
    <w:p w14:paraId="6836996F" w14:textId="583399A4" w:rsidR="003102B9" w:rsidRPr="00EE14DB" w:rsidRDefault="003102B9" w:rsidP="00536425">
      <w:pPr>
        <w:jc w:val="both"/>
        <w:rPr>
          <w:rFonts w:cstheme="minorHAnsi"/>
        </w:rPr>
      </w:pPr>
      <w:r w:rsidRPr="00EE14DB">
        <w:rPr>
          <w:rFonts w:cstheme="minorHAnsi"/>
        </w:rPr>
        <w:t>Individual and phone inquiries are not permitted.</w:t>
      </w:r>
    </w:p>
    <w:p w14:paraId="11A91D14" w14:textId="77777777" w:rsidR="003102B9" w:rsidRPr="00EE14DB" w:rsidRDefault="003102B9" w:rsidP="00536425">
      <w:pPr>
        <w:jc w:val="both"/>
        <w:rPr>
          <w:rFonts w:cstheme="minorHAnsi"/>
        </w:rPr>
      </w:pPr>
    </w:p>
    <w:p w14:paraId="1FCD555E" w14:textId="5F2C0391" w:rsidR="003102B9" w:rsidRPr="00EE14DB" w:rsidRDefault="003102B9" w:rsidP="00536425">
      <w:pPr>
        <w:jc w:val="both"/>
        <w:rPr>
          <w:rFonts w:cstheme="minorHAnsi"/>
        </w:rPr>
      </w:pPr>
      <w:r w:rsidRPr="00EE14DB">
        <w:rPr>
          <w:rFonts w:cstheme="minorHAnsi"/>
        </w:rPr>
        <w:t>UNDP reserves the right to change elements of the Call, amongst other following the questions by the potential applicants. If the nature of changes is such that it requires additional effort on the side of applicants, or the changes are introduced close to Call closure date, UNDP may grant prolongation of the Call application period.</w:t>
      </w:r>
    </w:p>
    <w:p w14:paraId="2350CD78" w14:textId="77777777" w:rsidR="003102B9" w:rsidRPr="00EE14DB" w:rsidRDefault="003102B9" w:rsidP="0044635D"/>
    <w:p w14:paraId="6DE731A8" w14:textId="77777777" w:rsidR="004F733A" w:rsidRPr="00EE14DB" w:rsidRDefault="004A704B" w:rsidP="0044635D">
      <w:pPr>
        <w:rPr>
          <w:b/>
        </w:rPr>
      </w:pPr>
      <w:r w:rsidRPr="00EE14DB">
        <w:rPr>
          <w:b/>
        </w:rPr>
        <w:t>2.3. Evaluation and selection of applications</w:t>
      </w:r>
    </w:p>
    <w:p w14:paraId="5968FBA8" w14:textId="77777777" w:rsidR="004A704B" w:rsidRPr="00EE14DB" w:rsidRDefault="004A704B" w:rsidP="0044635D">
      <w:pPr>
        <w:rPr>
          <w:b/>
        </w:rPr>
      </w:pPr>
    </w:p>
    <w:p w14:paraId="2B8B3F2A" w14:textId="4075BA01" w:rsidR="0075542B" w:rsidRPr="00EE14DB" w:rsidRDefault="0075542B" w:rsidP="00B73BC2">
      <w:pPr>
        <w:jc w:val="both"/>
      </w:pPr>
      <w:r w:rsidRPr="00EE14DB">
        <w:lastRenderedPageBreak/>
        <w:t xml:space="preserve">Upon closure of the Call for proposals, the evaluation of the applications will be carried out in order to establish the ranking list of proposals and determine those that will be awarded </w:t>
      </w:r>
      <w:r w:rsidR="00236319">
        <w:t>funding</w:t>
      </w:r>
      <w:r w:rsidRPr="00EE14DB">
        <w:t xml:space="preserve"> under this Call. The evaluation will be carried out by the Evaluation committee with the assistance of the UNDP designated </w:t>
      </w:r>
      <w:r w:rsidR="00236319">
        <w:t>civil</w:t>
      </w:r>
      <w:r w:rsidRPr="00EE14DB">
        <w:t xml:space="preserve"> engineer.</w:t>
      </w:r>
      <w:r w:rsidR="00CB3307">
        <w:t xml:space="preserve"> </w:t>
      </w:r>
      <w:r w:rsidR="00CB3307" w:rsidRPr="00CB3307">
        <w:rPr>
          <w:b/>
        </w:rPr>
        <w:t xml:space="preserve">Minimum of </w:t>
      </w:r>
      <w:r w:rsidR="00CB3307">
        <w:rPr>
          <w:b/>
        </w:rPr>
        <w:t>55</w:t>
      </w:r>
      <w:r w:rsidR="00CB3307" w:rsidRPr="00CB3307">
        <w:rPr>
          <w:b/>
        </w:rPr>
        <w:t xml:space="preserve"> points is required for the project to be eligible for funding</w:t>
      </w:r>
      <w:r w:rsidR="00CB3307" w:rsidRPr="004C3A81">
        <w:rPr>
          <w:b/>
        </w:rPr>
        <w:t>.</w:t>
      </w:r>
    </w:p>
    <w:p w14:paraId="1802EDA6" w14:textId="77777777" w:rsidR="0075542B" w:rsidRPr="00EE14DB" w:rsidRDefault="0075542B" w:rsidP="00B73BC2">
      <w:pPr>
        <w:jc w:val="both"/>
      </w:pPr>
      <w:r w:rsidRPr="00EE14DB">
        <w:t>The evaluation will be carried out according to the following pre-determined criteria and evaluation grid:</w:t>
      </w:r>
    </w:p>
    <w:p w14:paraId="4363C668" w14:textId="77777777" w:rsidR="0040777C" w:rsidRPr="00EE14DB" w:rsidRDefault="0040777C" w:rsidP="0044635D"/>
    <w:p w14:paraId="65BF5A19" w14:textId="77777777" w:rsidR="0075542B" w:rsidRPr="00EE14DB" w:rsidRDefault="0040777C" w:rsidP="0040777C">
      <w:pPr>
        <w:pStyle w:val="ListParagraph"/>
        <w:numPr>
          <w:ilvl w:val="0"/>
          <w:numId w:val="16"/>
        </w:numPr>
        <w:ind w:left="284" w:hanging="284"/>
      </w:pPr>
      <w:r w:rsidRPr="00EE14DB">
        <w:t>ADMINISTRATIVE CRITERIA AND ELIGIBILITY OF APPLICANT(S) / PROJECTS / ACTIVITIES</w:t>
      </w:r>
    </w:p>
    <w:tbl>
      <w:tblPr>
        <w:tblStyle w:val="TableGrid"/>
        <w:tblW w:w="0" w:type="auto"/>
        <w:tblLook w:val="04A0" w:firstRow="1" w:lastRow="0" w:firstColumn="1" w:lastColumn="0" w:noHBand="0" w:noVBand="1"/>
      </w:tblPr>
      <w:tblGrid>
        <w:gridCol w:w="5949"/>
        <w:gridCol w:w="2097"/>
      </w:tblGrid>
      <w:tr w:rsidR="0075542B" w:rsidRPr="00EE14DB" w14:paraId="57188E53" w14:textId="77777777" w:rsidTr="004C3A81">
        <w:tc>
          <w:tcPr>
            <w:tcW w:w="5949" w:type="dxa"/>
          </w:tcPr>
          <w:p w14:paraId="78F05482" w14:textId="77777777" w:rsidR="0075542B" w:rsidRPr="00EE14DB" w:rsidRDefault="0075542B" w:rsidP="0075542B">
            <w:pPr>
              <w:spacing w:line="276" w:lineRule="auto"/>
            </w:pPr>
            <w:r w:rsidRPr="00EE14DB">
              <w:t>CRITERION</w:t>
            </w:r>
          </w:p>
        </w:tc>
        <w:tc>
          <w:tcPr>
            <w:tcW w:w="2097" w:type="dxa"/>
          </w:tcPr>
          <w:p w14:paraId="36E700DA" w14:textId="77777777" w:rsidR="0075542B" w:rsidRPr="00EE14DB" w:rsidRDefault="0075542B" w:rsidP="004C3A81">
            <w:pPr>
              <w:spacing w:line="276" w:lineRule="auto"/>
              <w:jc w:val="center"/>
            </w:pPr>
            <w:r w:rsidRPr="00EE14DB">
              <w:t>mark / grade</w:t>
            </w:r>
          </w:p>
        </w:tc>
      </w:tr>
      <w:tr w:rsidR="0075542B" w:rsidRPr="00EE14DB" w14:paraId="5CF8B5EB" w14:textId="77777777" w:rsidTr="004C3A81">
        <w:tc>
          <w:tcPr>
            <w:tcW w:w="5949" w:type="dxa"/>
            <w:shd w:val="clear" w:color="auto" w:fill="D9D9D9" w:themeFill="background1" w:themeFillShade="D9"/>
          </w:tcPr>
          <w:p w14:paraId="6418EBE7" w14:textId="089C57D4" w:rsidR="0075542B" w:rsidRPr="00EE14DB" w:rsidRDefault="0075542B" w:rsidP="00B212C4">
            <w:pPr>
              <w:pStyle w:val="Header"/>
              <w:tabs>
                <w:tab w:val="clear" w:pos="4536"/>
                <w:tab w:val="clear" w:pos="9072"/>
              </w:tabs>
              <w:spacing w:line="276" w:lineRule="auto"/>
            </w:pPr>
            <w:r w:rsidRPr="00EE14DB">
              <w:t>Is the applicant eligible according to the rules of Call for pro</w:t>
            </w:r>
            <w:r w:rsidR="00EE14DB">
              <w:t>p</w:t>
            </w:r>
            <w:r w:rsidRPr="00EE14DB">
              <w:t>osals?</w:t>
            </w:r>
            <w:r w:rsidR="003543DE">
              <w:t xml:space="preserve"> (section 2.1.1)</w:t>
            </w:r>
          </w:p>
        </w:tc>
        <w:tc>
          <w:tcPr>
            <w:tcW w:w="2097" w:type="dxa"/>
            <w:shd w:val="clear" w:color="auto" w:fill="D9D9D9" w:themeFill="background1" w:themeFillShade="D9"/>
          </w:tcPr>
          <w:p w14:paraId="2B1EF062" w14:textId="77777777" w:rsidR="0075542B" w:rsidRPr="00EE14DB" w:rsidRDefault="0075542B" w:rsidP="004C3A81">
            <w:pPr>
              <w:spacing w:line="276" w:lineRule="auto"/>
              <w:jc w:val="center"/>
            </w:pPr>
            <w:r w:rsidRPr="00EE14DB">
              <w:t>YES / NO</w:t>
            </w:r>
          </w:p>
        </w:tc>
      </w:tr>
      <w:tr w:rsidR="0075542B" w:rsidRPr="00EE14DB" w14:paraId="01096948" w14:textId="77777777" w:rsidTr="004C3A81">
        <w:tc>
          <w:tcPr>
            <w:tcW w:w="5949" w:type="dxa"/>
          </w:tcPr>
          <w:p w14:paraId="4C67DBCD" w14:textId="7F6D93FF" w:rsidR="0075542B" w:rsidRPr="00EE14DB" w:rsidRDefault="0075542B" w:rsidP="0075542B">
            <w:pPr>
              <w:spacing w:line="276" w:lineRule="auto"/>
            </w:pPr>
            <w:r w:rsidRPr="00EE14DB">
              <w:t xml:space="preserve">Does the project proposed to receive </w:t>
            </w:r>
            <w:r w:rsidR="00A33097">
              <w:t>funding</w:t>
            </w:r>
            <w:r w:rsidRPr="00EE14DB">
              <w:t xml:space="preserve"> for preparation fall within the list of eligible projects for funding?</w:t>
            </w:r>
            <w:r w:rsidR="003543DE">
              <w:t xml:space="preserve"> (section 2.1.2)</w:t>
            </w:r>
          </w:p>
        </w:tc>
        <w:tc>
          <w:tcPr>
            <w:tcW w:w="2097" w:type="dxa"/>
          </w:tcPr>
          <w:p w14:paraId="476822BC" w14:textId="77777777" w:rsidR="0075542B" w:rsidRPr="00EE14DB" w:rsidRDefault="0075542B" w:rsidP="004C3A81">
            <w:pPr>
              <w:spacing w:line="276" w:lineRule="auto"/>
              <w:jc w:val="center"/>
            </w:pPr>
            <w:r w:rsidRPr="00EE14DB">
              <w:t>YES / NO</w:t>
            </w:r>
          </w:p>
        </w:tc>
      </w:tr>
      <w:tr w:rsidR="0075542B" w:rsidRPr="00EE14DB" w14:paraId="21AEB87D" w14:textId="77777777" w:rsidTr="004C3A81">
        <w:tc>
          <w:tcPr>
            <w:tcW w:w="5949" w:type="dxa"/>
            <w:shd w:val="clear" w:color="auto" w:fill="D9D9D9" w:themeFill="background1" w:themeFillShade="D9"/>
          </w:tcPr>
          <w:p w14:paraId="6118A09B" w14:textId="29D3A376" w:rsidR="0075542B" w:rsidRPr="00EE14DB" w:rsidRDefault="0075542B" w:rsidP="0075542B">
            <w:pPr>
              <w:spacing w:line="276" w:lineRule="auto"/>
            </w:pPr>
            <w:r w:rsidRPr="00EE14DB">
              <w:t>Is the type of project documentat</w:t>
            </w:r>
            <w:r w:rsidR="00EE14DB">
              <w:t>i</w:t>
            </w:r>
            <w:r w:rsidRPr="00EE14DB">
              <w:t xml:space="preserve">on for which the </w:t>
            </w:r>
            <w:r w:rsidR="00236319">
              <w:t>funding</w:t>
            </w:r>
            <w:r w:rsidRPr="00EE14DB">
              <w:t xml:space="preserve"> is sought fall within the list of eligible project documents?</w:t>
            </w:r>
            <w:r w:rsidR="003543DE">
              <w:t xml:space="preserve"> (section 2.1.3)</w:t>
            </w:r>
          </w:p>
        </w:tc>
        <w:tc>
          <w:tcPr>
            <w:tcW w:w="2097" w:type="dxa"/>
            <w:shd w:val="clear" w:color="auto" w:fill="D9D9D9" w:themeFill="background1" w:themeFillShade="D9"/>
          </w:tcPr>
          <w:p w14:paraId="08D65605" w14:textId="77777777" w:rsidR="0075542B" w:rsidRPr="00EE14DB" w:rsidRDefault="0075542B" w:rsidP="004C3A81">
            <w:pPr>
              <w:spacing w:line="276" w:lineRule="auto"/>
              <w:jc w:val="center"/>
            </w:pPr>
            <w:r w:rsidRPr="00EE14DB">
              <w:t>YES / NO</w:t>
            </w:r>
          </w:p>
        </w:tc>
      </w:tr>
      <w:tr w:rsidR="00FF4A7F" w:rsidRPr="00EE14DB" w14:paraId="3307F831" w14:textId="77777777" w:rsidTr="00004BBA">
        <w:tc>
          <w:tcPr>
            <w:tcW w:w="5949" w:type="dxa"/>
            <w:shd w:val="clear" w:color="auto" w:fill="D9D9D9" w:themeFill="background1" w:themeFillShade="D9"/>
          </w:tcPr>
          <w:p w14:paraId="75F7AC71" w14:textId="50A027DF" w:rsidR="00FF4A7F" w:rsidRPr="00EE14DB" w:rsidRDefault="00FF4A7F" w:rsidP="00FF4A7F">
            <w:r>
              <w:t>Has the project been approved/endorsed by the municipal council?</w:t>
            </w:r>
            <w:r w:rsidR="00B05FE5">
              <w:t xml:space="preserve"> Is the council decision attached?</w:t>
            </w:r>
          </w:p>
        </w:tc>
        <w:tc>
          <w:tcPr>
            <w:tcW w:w="2097" w:type="dxa"/>
            <w:shd w:val="clear" w:color="auto" w:fill="D9D9D9" w:themeFill="background1" w:themeFillShade="D9"/>
          </w:tcPr>
          <w:p w14:paraId="399F658F" w14:textId="7178BC0C" w:rsidR="00FF4A7F" w:rsidRPr="00EE14DB" w:rsidRDefault="00FF4A7F" w:rsidP="00004BBA">
            <w:pPr>
              <w:jc w:val="center"/>
            </w:pPr>
            <w:r w:rsidRPr="00EE14DB">
              <w:t>YES / NO</w:t>
            </w:r>
          </w:p>
        </w:tc>
      </w:tr>
      <w:tr w:rsidR="00FF4A7F" w:rsidRPr="00EE14DB" w14:paraId="5A885D87" w14:textId="77777777" w:rsidTr="004C3A81">
        <w:tc>
          <w:tcPr>
            <w:tcW w:w="5949" w:type="dxa"/>
          </w:tcPr>
          <w:p w14:paraId="46E84F81" w14:textId="7ABC9BC9" w:rsidR="00FF4A7F" w:rsidRPr="00EE14DB" w:rsidRDefault="00FF4A7F" w:rsidP="00FF4A7F">
            <w:pPr>
              <w:spacing w:line="276" w:lineRule="auto"/>
            </w:pPr>
            <w:r w:rsidRPr="00EE14DB">
              <w:t xml:space="preserve">There are no remaining legal / property issues that present a serious obstacle to the proposed project implementation? </w:t>
            </w:r>
          </w:p>
        </w:tc>
        <w:tc>
          <w:tcPr>
            <w:tcW w:w="2097" w:type="dxa"/>
          </w:tcPr>
          <w:p w14:paraId="593ED543" w14:textId="77777777" w:rsidR="00FF4A7F" w:rsidRPr="00EE14DB" w:rsidRDefault="00FF4A7F" w:rsidP="004C3A81">
            <w:pPr>
              <w:spacing w:line="276" w:lineRule="auto"/>
              <w:jc w:val="center"/>
            </w:pPr>
            <w:r w:rsidRPr="00EE14DB">
              <w:t>YES / NO</w:t>
            </w:r>
          </w:p>
        </w:tc>
      </w:tr>
      <w:tr w:rsidR="00402C11" w:rsidRPr="00EE14DB" w14:paraId="17D48C73" w14:textId="77777777" w:rsidTr="00004BBA">
        <w:tc>
          <w:tcPr>
            <w:tcW w:w="5949" w:type="dxa"/>
          </w:tcPr>
          <w:p w14:paraId="6BB52B7E" w14:textId="1F2A3FA7" w:rsidR="00402C11" w:rsidRPr="00EE14DB" w:rsidRDefault="00402C11" w:rsidP="00402C11">
            <w:r w:rsidRPr="00402C11">
              <w:t xml:space="preserve">Has the Applicant submitted the requested </w:t>
            </w:r>
            <w:r w:rsidR="00A928E0">
              <w:t xml:space="preserve">available </w:t>
            </w:r>
            <w:r w:rsidRPr="00402C11">
              <w:t>data necessary for calculation of the Index?</w:t>
            </w:r>
          </w:p>
        </w:tc>
        <w:tc>
          <w:tcPr>
            <w:tcW w:w="2097" w:type="dxa"/>
          </w:tcPr>
          <w:p w14:paraId="20527EBB" w14:textId="7E4743EE" w:rsidR="00402C11" w:rsidRPr="00EE14DB" w:rsidRDefault="00402C11" w:rsidP="00004BBA">
            <w:pPr>
              <w:jc w:val="center"/>
            </w:pPr>
            <w:r>
              <w:t>YES / NO</w:t>
            </w:r>
          </w:p>
        </w:tc>
      </w:tr>
    </w:tbl>
    <w:p w14:paraId="3C78FD5A" w14:textId="77777777" w:rsidR="0075542B" w:rsidRPr="00EE14DB" w:rsidRDefault="0075542B" w:rsidP="0044635D"/>
    <w:p w14:paraId="089C4276" w14:textId="30B1654E" w:rsidR="0040777C" w:rsidRPr="00EE14DB" w:rsidRDefault="0040777C" w:rsidP="0040777C">
      <w:r w:rsidRPr="00EE14DB">
        <w:t>2. GRADING ACCORDING TO THE MUNICIPAL DEVELOPMENT INDEX AND INTER-MUNICIPAL COOPERATION</w:t>
      </w:r>
      <w:r w:rsidR="00B73BC2" w:rsidRPr="00EE14DB">
        <w:t xml:space="preserve"> </w:t>
      </w:r>
      <w:r w:rsidRPr="00EE14DB">
        <w:t xml:space="preserve">(Maximum possible points: </w:t>
      </w:r>
      <w:r w:rsidR="008C6622">
        <w:t>4</w:t>
      </w:r>
      <w:r w:rsidRPr="00EE14DB">
        <w:t>0)</w:t>
      </w:r>
    </w:p>
    <w:tbl>
      <w:tblPr>
        <w:tblStyle w:val="TableGrid"/>
        <w:tblW w:w="0" w:type="auto"/>
        <w:tblLook w:val="04A0" w:firstRow="1" w:lastRow="0" w:firstColumn="1" w:lastColumn="0" w:noHBand="0" w:noVBand="1"/>
      </w:tblPr>
      <w:tblGrid>
        <w:gridCol w:w="5920"/>
        <w:gridCol w:w="2126"/>
      </w:tblGrid>
      <w:tr w:rsidR="00B73BC2" w:rsidRPr="00EE14DB" w14:paraId="5D68B92F" w14:textId="77777777" w:rsidTr="004C3A81">
        <w:tc>
          <w:tcPr>
            <w:tcW w:w="5920" w:type="dxa"/>
          </w:tcPr>
          <w:p w14:paraId="6DAE5765" w14:textId="77777777" w:rsidR="00B73BC2" w:rsidRPr="00EE14DB" w:rsidRDefault="00B73BC2" w:rsidP="0040777C">
            <w:r w:rsidRPr="00EE14DB">
              <w:t>CRITERION</w:t>
            </w:r>
          </w:p>
        </w:tc>
        <w:tc>
          <w:tcPr>
            <w:tcW w:w="2126" w:type="dxa"/>
          </w:tcPr>
          <w:p w14:paraId="545BB62D" w14:textId="77777777" w:rsidR="00B73BC2" w:rsidRPr="00EE14DB" w:rsidRDefault="00B73BC2" w:rsidP="00B73BC2">
            <w:pPr>
              <w:jc w:val="center"/>
            </w:pPr>
            <w:r w:rsidRPr="00EE14DB">
              <w:t>Maximum points obtainable</w:t>
            </w:r>
          </w:p>
        </w:tc>
      </w:tr>
      <w:tr w:rsidR="00B73BC2" w:rsidRPr="00EE14DB" w14:paraId="650AD2A5" w14:textId="77777777" w:rsidTr="004C3A81">
        <w:tc>
          <w:tcPr>
            <w:tcW w:w="5920" w:type="dxa"/>
            <w:shd w:val="clear" w:color="auto" w:fill="D9D9D9" w:themeFill="background1" w:themeFillShade="D9"/>
          </w:tcPr>
          <w:p w14:paraId="15951BF0" w14:textId="77777777" w:rsidR="00B73BC2" w:rsidRPr="00EE14DB" w:rsidRDefault="00B73BC2" w:rsidP="0040777C">
            <w:r w:rsidRPr="00EE14DB">
              <w:t>To which ca</w:t>
            </w:r>
            <w:r w:rsidR="00EE14DB">
              <w:t>tegory of the Municipal develop</w:t>
            </w:r>
            <w:r w:rsidRPr="00EE14DB">
              <w:t>m</w:t>
            </w:r>
            <w:r w:rsidR="00EE14DB">
              <w:t>e</w:t>
            </w:r>
            <w:r w:rsidRPr="00EE14DB">
              <w:t>nt index, according to the current development index value, does the Applicant belong?</w:t>
            </w:r>
          </w:p>
        </w:tc>
        <w:tc>
          <w:tcPr>
            <w:tcW w:w="2126" w:type="dxa"/>
            <w:shd w:val="clear" w:color="auto" w:fill="D9D9D9" w:themeFill="background1" w:themeFillShade="D9"/>
          </w:tcPr>
          <w:p w14:paraId="145D9431" w14:textId="208841C5" w:rsidR="00B73BC2" w:rsidRPr="00EE14DB" w:rsidRDefault="008C6622" w:rsidP="00B73BC2">
            <w:pPr>
              <w:jc w:val="center"/>
            </w:pPr>
            <w:r>
              <w:t>3</w:t>
            </w:r>
            <w:r w:rsidR="00B73BC2" w:rsidRPr="00EE14DB">
              <w:t>0</w:t>
            </w:r>
          </w:p>
        </w:tc>
      </w:tr>
      <w:tr w:rsidR="00B73BC2" w:rsidRPr="00EE14DB" w14:paraId="3F6C6900" w14:textId="77777777" w:rsidTr="004C3A81">
        <w:tc>
          <w:tcPr>
            <w:tcW w:w="5920" w:type="dxa"/>
          </w:tcPr>
          <w:p w14:paraId="5638B402" w14:textId="7AC5C1E8" w:rsidR="00B73BC2" w:rsidRPr="00EE14DB" w:rsidRDefault="008C6622" w:rsidP="004C3A81">
            <w:pPr>
              <w:spacing w:line="276" w:lineRule="auto"/>
            </w:pPr>
            <w:r w:rsidRPr="008C6622">
              <w:t>Is the application submitted by two or more municipalities in cooperation?</w:t>
            </w:r>
          </w:p>
        </w:tc>
        <w:tc>
          <w:tcPr>
            <w:tcW w:w="2126" w:type="dxa"/>
          </w:tcPr>
          <w:p w14:paraId="585E944E" w14:textId="0FACC983" w:rsidR="00B73BC2" w:rsidRPr="00EE14DB" w:rsidRDefault="008C6622" w:rsidP="004C3A81">
            <w:pPr>
              <w:spacing w:line="276" w:lineRule="auto"/>
              <w:jc w:val="center"/>
            </w:pPr>
            <w:r>
              <w:t>10</w:t>
            </w:r>
          </w:p>
        </w:tc>
      </w:tr>
    </w:tbl>
    <w:p w14:paraId="3D04F7B9" w14:textId="77777777" w:rsidR="004A704B" w:rsidRPr="00EE14DB" w:rsidRDefault="004A704B" w:rsidP="0044635D"/>
    <w:p w14:paraId="02A03C11" w14:textId="77777777" w:rsidR="0040777C" w:rsidRPr="00EE14DB" w:rsidRDefault="0040777C" w:rsidP="0040777C">
      <w:r w:rsidRPr="00EE14DB">
        <w:t>3. PROJECT RELEVANCE</w:t>
      </w:r>
      <w:r w:rsidR="00B73BC2" w:rsidRPr="00EE14DB">
        <w:t xml:space="preserve"> </w:t>
      </w:r>
      <w:r w:rsidRPr="00EE14DB">
        <w:t>(Maximum possible points: 30)</w:t>
      </w:r>
    </w:p>
    <w:tbl>
      <w:tblPr>
        <w:tblStyle w:val="TableGrid"/>
        <w:tblW w:w="0" w:type="auto"/>
        <w:tblLook w:val="04A0" w:firstRow="1" w:lastRow="0" w:firstColumn="1" w:lastColumn="0" w:noHBand="0" w:noVBand="1"/>
      </w:tblPr>
      <w:tblGrid>
        <w:gridCol w:w="5920"/>
        <w:gridCol w:w="2126"/>
      </w:tblGrid>
      <w:tr w:rsidR="00B73BC2" w:rsidRPr="00EE14DB" w14:paraId="6CA1082C" w14:textId="77777777" w:rsidTr="004C3A81">
        <w:tc>
          <w:tcPr>
            <w:tcW w:w="5920" w:type="dxa"/>
          </w:tcPr>
          <w:p w14:paraId="582D1311" w14:textId="77777777" w:rsidR="00B73BC2" w:rsidRPr="00EE14DB" w:rsidRDefault="00B73BC2" w:rsidP="0040777C">
            <w:r w:rsidRPr="00EE14DB">
              <w:t>CRITERION</w:t>
            </w:r>
          </w:p>
        </w:tc>
        <w:tc>
          <w:tcPr>
            <w:tcW w:w="2126" w:type="dxa"/>
          </w:tcPr>
          <w:p w14:paraId="54416A8A" w14:textId="77777777" w:rsidR="00B73BC2" w:rsidRPr="00EE14DB" w:rsidRDefault="00B73BC2" w:rsidP="00B73BC2">
            <w:pPr>
              <w:jc w:val="center"/>
            </w:pPr>
            <w:r w:rsidRPr="00EE14DB">
              <w:t>Maximum points obtainable</w:t>
            </w:r>
          </w:p>
        </w:tc>
      </w:tr>
      <w:tr w:rsidR="00B73BC2" w:rsidRPr="00EE14DB" w14:paraId="5A363069" w14:textId="77777777" w:rsidTr="004C3A81">
        <w:tc>
          <w:tcPr>
            <w:tcW w:w="5920" w:type="dxa"/>
            <w:shd w:val="clear" w:color="auto" w:fill="D9D9D9" w:themeFill="background1" w:themeFillShade="D9"/>
          </w:tcPr>
          <w:p w14:paraId="78C36A3B" w14:textId="77777777" w:rsidR="00B73BC2" w:rsidRPr="00EE14DB" w:rsidRDefault="00B73BC2" w:rsidP="0040777C">
            <w:r w:rsidRPr="00EE14DB">
              <w:t xml:space="preserve">The project clearly addresses the described problem. </w:t>
            </w:r>
          </w:p>
        </w:tc>
        <w:tc>
          <w:tcPr>
            <w:tcW w:w="2126" w:type="dxa"/>
            <w:shd w:val="clear" w:color="auto" w:fill="D9D9D9" w:themeFill="background1" w:themeFillShade="D9"/>
          </w:tcPr>
          <w:p w14:paraId="7BCF4926" w14:textId="037675C2" w:rsidR="00B73BC2" w:rsidRPr="00EE14DB" w:rsidRDefault="00B73BC2" w:rsidP="00B73BC2">
            <w:pPr>
              <w:jc w:val="center"/>
            </w:pPr>
            <w:r w:rsidRPr="00EE14DB">
              <w:t>10</w:t>
            </w:r>
          </w:p>
        </w:tc>
      </w:tr>
      <w:tr w:rsidR="00B73BC2" w:rsidRPr="00EE14DB" w14:paraId="2EE6B6D6" w14:textId="77777777" w:rsidTr="004C3A81">
        <w:tc>
          <w:tcPr>
            <w:tcW w:w="5920" w:type="dxa"/>
          </w:tcPr>
          <w:p w14:paraId="6BEC24DA" w14:textId="77777777" w:rsidR="00B73BC2" w:rsidRPr="00EE14DB" w:rsidRDefault="00B73BC2" w:rsidP="0040777C">
            <w:pPr>
              <w:spacing w:line="276" w:lineRule="auto"/>
            </w:pPr>
            <w:r w:rsidRPr="00EE14DB">
              <w:t xml:space="preserve">The project is aligned and/or part of a local / national / EU </w:t>
            </w:r>
            <w:proofErr w:type="spellStart"/>
            <w:r w:rsidRPr="00EE14DB">
              <w:t>programme</w:t>
            </w:r>
            <w:proofErr w:type="spellEnd"/>
            <w:r w:rsidRPr="00EE14DB">
              <w:t xml:space="preserve"> or strategy.</w:t>
            </w:r>
          </w:p>
        </w:tc>
        <w:tc>
          <w:tcPr>
            <w:tcW w:w="2126" w:type="dxa"/>
          </w:tcPr>
          <w:p w14:paraId="5D4EB0EF" w14:textId="729032F2" w:rsidR="00B73BC2" w:rsidRPr="00EE14DB" w:rsidRDefault="00B73BC2" w:rsidP="00B73BC2">
            <w:pPr>
              <w:spacing w:line="276" w:lineRule="auto"/>
              <w:jc w:val="center"/>
            </w:pPr>
            <w:r w:rsidRPr="00EE14DB">
              <w:t>5</w:t>
            </w:r>
          </w:p>
        </w:tc>
      </w:tr>
      <w:tr w:rsidR="00B73BC2" w:rsidRPr="00EE14DB" w14:paraId="33B6DD29" w14:textId="77777777" w:rsidTr="004C3A81">
        <w:tc>
          <w:tcPr>
            <w:tcW w:w="5920" w:type="dxa"/>
            <w:shd w:val="clear" w:color="auto" w:fill="D9D9D9" w:themeFill="background1" w:themeFillShade="D9"/>
          </w:tcPr>
          <w:p w14:paraId="64010CCD" w14:textId="77DE26D6" w:rsidR="00B73BC2" w:rsidRPr="00EE14DB" w:rsidRDefault="00B73BC2" w:rsidP="0040777C">
            <w:pPr>
              <w:spacing w:line="276" w:lineRule="auto"/>
            </w:pPr>
            <w:r w:rsidRPr="00EE14DB">
              <w:t xml:space="preserve">The project has been </w:t>
            </w:r>
            <w:r w:rsidR="003543DE">
              <w:t>selected</w:t>
            </w:r>
            <w:r w:rsidRPr="00EE14DB">
              <w:t xml:space="preserve"> / endorsed </w:t>
            </w:r>
            <w:r w:rsidR="00FF4A7F">
              <w:t>at</w:t>
            </w:r>
            <w:r w:rsidR="00FF4A7F" w:rsidRPr="00EE14DB">
              <w:t xml:space="preserve"> </w:t>
            </w:r>
            <w:r w:rsidRPr="00EE14DB">
              <w:t>the municipal community forum</w:t>
            </w:r>
          </w:p>
        </w:tc>
        <w:tc>
          <w:tcPr>
            <w:tcW w:w="2126" w:type="dxa"/>
            <w:shd w:val="clear" w:color="auto" w:fill="D9D9D9" w:themeFill="background1" w:themeFillShade="D9"/>
          </w:tcPr>
          <w:p w14:paraId="1755053E" w14:textId="77777777" w:rsidR="00B73BC2" w:rsidRPr="00EE14DB" w:rsidRDefault="00B73BC2" w:rsidP="00B73BC2">
            <w:pPr>
              <w:spacing w:line="276" w:lineRule="auto"/>
              <w:jc w:val="center"/>
            </w:pPr>
            <w:r w:rsidRPr="00EE14DB">
              <w:t>5</w:t>
            </w:r>
          </w:p>
        </w:tc>
      </w:tr>
      <w:tr w:rsidR="00B73BC2" w:rsidRPr="00EE14DB" w14:paraId="36CE7CED" w14:textId="77777777" w:rsidTr="004C3A81">
        <w:tc>
          <w:tcPr>
            <w:tcW w:w="5920" w:type="dxa"/>
          </w:tcPr>
          <w:p w14:paraId="094F4C3C" w14:textId="3D4E3D38" w:rsidR="00B73BC2" w:rsidRPr="00EE14DB" w:rsidRDefault="00B73BC2" w:rsidP="00EE14DB">
            <w:pPr>
              <w:spacing w:line="276" w:lineRule="auto"/>
            </w:pPr>
            <w:r w:rsidRPr="00EE14DB">
              <w:t xml:space="preserve">The project contributes to the achievement of one of the SDGs listed </w:t>
            </w:r>
            <w:r w:rsidR="004C4ABB">
              <w:t>in the</w:t>
            </w:r>
            <w:r w:rsidRPr="00EE14DB">
              <w:t xml:space="preserve"> Guidelines for applicants</w:t>
            </w:r>
          </w:p>
        </w:tc>
        <w:tc>
          <w:tcPr>
            <w:tcW w:w="2126" w:type="dxa"/>
          </w:tcPr>
          <w:p w14:paraId="422C4136" w14:textId="20FF52D8" w:rsidR="00B73BC2" w:rsidRPr="00EE14DB" w:rsidRDefault="00B73BC2" w:rsidP="00B73BC2">
            <w:pPr>
              <w:spacing w:line="276" w:lineRule="auto"/>
              <w:jc w:val="center"/>
            </w:pPr>
            <w:r w:rsidRPr="00EE14DB">
              <w:t>5</w:t>
            </w:r>
          </w:p>
        </w:tc>
      </w:tr>
      <w:tr w:rsidR="00B73BC2" w:rsidRPr="00EE14DB" w14:paraId="2A2F1C71" w14:textId="77777777" w:rsidTr="004C3A81">
        <w:tc>
          <w:tcPr>
            <w:tcW w:w="5920" w:type="dxa"/>
            <w:shd w:val="clear" w:color="auto" w:fill="D9D9D9" w:themeFill="background1" w:themeFillShade="D9"/>
          </w:tcPr>
          <w:p w14:paraId="2A9B4E71" w14:textId="058D205D" w:rsidR="00B73BC2" w:rsidRPr="00EE14DB" w:rsidRDefault="00B73BC2" w:rsidP="0040777C">
            <w:pPr>
              <w:spacing w:line="276" w:lineRule="auto"/>
            </w:pPr>
            <w:r w:rsidRPr="00EE14DB">
              <w:lastRenderedPageBreak/>
              <w:t xml:space="preserve">The project </w:t>
            </w:r>
            <w:r w:rsidR="00E332FB">
              <w:t xml:space="preserve">clearly defines the gender </w:t>
            </w:r>
            <w:r w:rsidR="0011258F">
              <w:t>impact (</w:t>
            </w:r>
            <w:r w:rsidR="003001F0">
              <w:t>addressing the needs of both women and men)</w:t>
            </w:r>
            <w:r w:rsidR="00E332FB">
              <w:t xml:space="preserve"> and/or </w:t>
            </w:r>
            <w:r w:rsidRPr="00EE14DB">
              <w:t>addresses the needs of vulnerable groups</w:t>
            </w:r>
          </w:p>
        </w:tc>
        <w:tc>
          <w:tcPr>
            <w:tcW w:w="2126" w:type="dxa"/>
            <w:shd w:val="clear" w:color="auto" w:fill="D9D9D9" w:themeFill="background1" w:themeFillShade="D9"/>
          </w:tcPr>
          <w:p w14:paraId="231CFD53" w14:textId="7E19F5B7" w:rsidR="00B73BC2" w:rsidRPr="00EE14DB" w:rsidRDefault="00B73BC2" w:rsidP="00B73BC2">
            <w:pPr>
              <w:spacing w:line="276" w:lineRule="auto"/>
              <w:jc w:val="center"/>
            </w:pPr>
            <w:r w:rsidRPr="00EE14DB">
              <w:t>5</w:t>
            </w:r>
          </w:p>
        </w:tc>
      </w:tr>
    </w:tbl>
    <w:p w14:paraId="6C62D2DF" w14:textId="299519BF" w:rsidR="0040777C" w:rsidRPr="00EE14DB" w:rsidRDefault="0040777C" w:rsidP="0044635D"/>
    <w:p w14:paraId="3F777F89" w14:textId="58097B7E" w:rsidR="00B73BC2" w:rsidRPr="00EE14DB" w:rsidRDefault="003543DE" w:rsidP="00B73BC2">
      <w:r>
        <w:t>4</w:t>
      </w:r>
      <w:r w:rsidR="00B73BC2" w:rsidRPr="00EE14DB">
        <w:t xml:space="preserve">. PROJECT SUSTAINABILITY (Maximum possible points: </w:t>
      </w:r>
      <w:r w:rsidR="00643611">
        <w:t>30</w:t>
      </w:r>
      <w:r w:rsidR="00B73BC2" w:rsidRPr="00EE14DB">
        <w:t>)</w:t>
      </w:r>
    </w:p>
    <w:tbl>
      <w:tblPr>
        <w:tblStyle w:val="TableGrid"/>
        <w:tblW w:w="0" w:type="auto"/>
        <w:tblLook w:val="04A0" w:firstRow="1" w:lastRow="0" w:firstColumn="1" w:lastColumn="0" w:noHBand="0" w:noVBand="1"/>
      </w:tblPr>
      <w:tblGrid>
        <w:gridCol w:w="5920"/>
        <w:gridCol w:w="2126"/>
      </w:tblGrid>
      <w:tr w:rsidR="00B73BC2" w:rsidRPr="00EE14DB" w14:paraId="1DEE5D22" w14:textId="77777777" w:rsidTr="004C3A81">
        <w:tc>
          <w:tcPr>
            <w:tcW w:w="5920" w:type="dxa"/>
          </w:tcPr>
          <w:p w14:paraId="66649278" w14:textId="77777777" w:rsidR="00B73BC2" w:rsidRPr="00EE14DB" w:rsidRDefault="00B73BC2" w:rsidP="00B73BC2">
            <w:r w:rsidRPr="00EE14DB">
              <w:t>CRITERION</w:t>
            </w:r>
          </w:p>
        </w:tc>
        <w:tc>
          <w:tcPr>
            <w:tcW w:w="2126" w:type="dxa"/>
          </w:tcPr>
          <w:p w14:paraId="3B53EE6B" w14:textId="77777777" w:rsidR="00B73BC2" w:rsidRPr="00EE14DB" w:rsidRDefault="00B73BC2" w:rsidP="00B73BC2">
            <w:pPr>
              <w:jc w:val="center"/>
            </w:pPr>
            <w:r w:rsidRPr="00EE14DB">
              <w:t>Maximum points obtainable</w:t>
            </w:r>
          </w:p>
        </w:tc>
      </w:tr>
      <w:tr w:rsidR="003543DE" w:rsidRPr="00EE14DB" w14:paraId="7F6DEA00" w14:textId="77777777" w:rsidTr="00B73BC2">
        <w:tc>
          <w:tcPr>
            <w:tcW w:w="5920" w:type="dxa"/>
            <w:shd w:val="clear" w:color="auto" w:fill="D9D9D9" w:themeFill="background1" w:themeFillShade="D9"/>
          </w:tcPr>
          <w:p w14:paraId="7B14B177" w14:textId="1C606C48" w:rsidR="003543DE" w:rsidRDefault="003543DE" w:rsidP="00B73BC2">
            <w:r>
              <w:t xml:space="preserve">The project has </w:t>
            </w:r>
            <w:r w:rsidR="00DB2F04">
              <w:t xml:space="preserve">clear potential to </w:t>
            </w:r>
            <w:r w:rsidR="004C4ABB">
              <w:t>mobilize</w:t>
            </w:r>
            <w:r w:rsidR="00DB2F04">
              <w:t xml:space="preserve"> resources</w:t>
            </w:r>
          </w:p>
        </w:tc>
        <w:tc>
          <w:tcPr>
            <w:tcW w:w="2126" w:type="dxa"/>
            <w:shd w:val="clear" w:color="auto" w:fill="D9D9D9" w:themeFill="background1" w:themeFillShade="D9"/>
          </w:tcPr>
          <w:p w14:paraId="63E9123F" w14:textId="4038B804" w:rsidR="003543DE" w:rsidRDefault="00DB2F04" w:rsidP="00B73BC2">
            <w:pPr>
              <w:jc w:val="center"/>
            </w:pPr>
            <w:r>
              <w:t>1</w:t>
            </w:r>
            <w:r w:rsidR="00CB3307">
              <w:t>5</w:t>
            </w:r>
          </w:p>
        </w:tc>
      </w:tr>
      <w:tr w:rsidR="00CB3307" w:rsidRPr="00EE14DB" w14:paraId="3C53931E" w14:textId="77777777" w:rsidTr="004C3A81">
        <w:tc>
          <w:tcPr>
            <w:tcW w:w="5920" w:type="dxa"/>
            <w:shd w:val="clear" w:color="auto" w:fill="D9D9D9" w:themeFill="background1" w:themeFillShade="D9"/>
          </w:tcPr>
          <w:p w14:paraId="5A337950" w14:textId="77777777" w:rsidR="00CB3307" w:rsidRPr="00EE14DB" w:rsidRDefault="00CB3307" w:rsidP="00F171B0">
            <w:r w:rsidRPr="00EE14DB">
              <w:t xml:space="preserve">The project clearly addresses the issues of sustainability of the planned infrastructure intervention </w:t>
            </w:r>
          </w:p>
        </w:tc>
        <w:tc>
          <w:tcPr>
            <w:tcW w:w="2126" w:type="dxa"/>
            <w:shd w:val="clear" w:color="auto" w:fill="D9D9D9" w:themeFill="background1" w:themeFillShade="D9"/>
          </w:tcPr>
          <w:p w14:paraId="03C1C948" w14:textId="018D1802" w:rsidR="00CB3307" w:rsidRPr="00EE14DB" w:rsidRDefault="00CB3307" w:rsidP="00F171B0">
            <w:pPr>
              <w:jc w:val="center"/>
            </w:pPr>
            <w:r>
              <w:t>10</w:t>
            </w:r>
          </w:p>
        </w:tc>
      </w:tr>
      <w:tr w:rsidR="00643611" w:rsidRPr="00EE14DB" w14:paraId="6E006E5D" w14:textId="77777777" w:rsidTr="00B73BC2">
        <w:tc>
          <w:tcPr>
            <w:tcW w:w="5920" w:type="dxa"/>
            <w:shd w:val="clear" w:color="auto" w:fill="D9D9D9" w:themeFill="background1" w:themeFillShade="D9"/>
          </w:tcPr>
          <w:p w14:paraId="2DD8C07E" w14:textId="3A26C8C5" w:rsidR="00643611" w:rsidRPr="00EE14DB" w:rsidRDefault="00DB2F04" w:rsidP="00B73BC2">
            <w:r>
              <w:t>The Municipality agrees to co-finance the project</w:t>
            </w:r>
          </w:p>
        </w:tc>
        <w:tc>
          <w:tcPr>
            <w:tcW w:w="2126" w:type="dxa"/>
            <w:shd w:val="clear" w:color="auto" w:fill="D9D9D9" w:themeFill="background1" w:themeFillShade="D9"/>
          </w:tcPr>
          <w:p w14:paraId="6F5D6BE0" w14:textId="0E59D192" w:rsidR="00643611" w:rsidRPr="00EE14DB" w:rsidRDefault="00DB2F04" w:rsidP="00B73BC2">
            <w:pPr>
              <w:jc w:val="center"/>
            </w:pPr>
            <w:r>
              <w:t>5</w:t>
            </w:r>
          </w:p>
        </w:tc>
      </w:tr>
    </w:tbl>
    <w:p w14:paraId="4124B8E8" w14:textId="77777777" w:rsidR="006D5EEF" w:rsidRDefault="006D5EEF" w:rsidP="006D5EEF"/>
    <w:p w14:paraId="1370781D" w14:textId="36DB5635" w:rsidR="006D5EEF" w:rsidRPr="00EE14DB" w:rsidRDefault="006D5EEF" w:rsidP="006D5EEF">
      <w:r>
        <w:t xml:space="preserve">The results of the evaluation process will be published at the </w:t>
      </w:r>
      <w:r w:rsidR="00DB2F04">
        <w:t xml:space="preserve">project </w:t>
      </w:r>
      <w:r>
        <w:t xml:space="preserve">web site and communicated to the successful applicants directly. </w:t>
      </w:r>
    </w:p>
    <w:p w14:paraId="5CBCABF4" w14:textId="77777777" w:rsidR="006D5EEF" w:rsidRDefault="006D5EEF" w:rsidP="006D5EEF"/>
    <w:p w14:paraId="4D1D8B0D" w14:textId="45313FDB" w:rsidR="006D5EEF" w:rsidRDefault="006D5EEF" w:rsidP="006D5EEF">
      <w:pPr>
        <w:rPr>
          <w:b/>
        </w:rPr>
      </w:pPr>
      <w:r w:rsidRPr="006D5EEF">
        <w:rPr>
          <w:b/>
        </w:rPr>
        <w:t xml:space="preserve">2.4. AWARD OF </w:t>
      </w:r>
      <w:r w:rsidR="00236319">
        <w:rPr>
          <w:b/>
        </w:rPr>
        <w:t>FUNDING</w:t>
      </w:r>
      <w:r w:rsidRPr="006D5EEF">
        <w:rPr>
          <w:b/>
        </w:rPr>
        <w:t xml:space="preserve"> AND IMPLEMENTATION ARRANGEMENTS</w:t>
      </w:r>
    </w:p>
    <w:p w14:paraId="016C62A5" w14:textId="77777777" w:rsidR="006D5EEF" w:rsidRPr="006D5EEF" w:rsidRDefault="006D5EEF" w:rsidP="006D5EEF">
      <w:pPr>
        <w:rPr>
          <w:b/>
        </w:rPr>
      </w:pPr>
      <w:r w:rsidRPr="006D5EEF">
        <w:rPr>
          <w:b/>
        </w:rPr>
        <w:tab/>
      </w:r>
    </w:p>
    <w:p w14:paraId="3610FD27" w14:textId="77777777" w:rsidR="006D5EEF" w:rsidRDefault="006D5EEF" w:rsidP="006D5EEF">
      <w:pPr>
        <w:rPr>
          <w:b/>
        </w:rPr>
      </w:pPr>
      <w:r w:rsidRPr="006D5EEF">
        <w:rPr>
          <w:b/>
        </w:rPr>
        <w:t>2.4.1. Letters of agreement, contracts</w:t>
      </w:r>
      <w:r w:rsidRPr="006D5EEF">
        <w:rPr>
          <w:b/>
        </w:rPr>
        <w:tab/>
      </w:r>
    </w:p>
    <w:p w14:paraId="44CC9743" w14:textId="77777777" w:rsidR="006D5EEF" w:rsidRDefault="006D5EEF" w:rsidP="006D5EEF">
      <w:pPr>
        <w:rPr>
          <w:b/>
        </w:rPr>
      </w:pPr>
    </w:p>
    <w:p w14:paraId="77D3BF53" w14:textId="329ECA6A" w:rsidR="006D5EEF" w:rsidRPr="00DB5672" w:rsidRDefault="00DB5672" w:rsidP="006D5EEF">
      <w:pPr>
        <w:jc w:val="both"/>
      </w:pPr>
      <w:r w:rsidRPr="00DB5672">
        <w:t xml:space="preserve">Memorandum of Understanding will be signed with each successful municipality </w:t>
      </w:r>
      <w:r w:rsidR="006D5EEF" w:rsidRPr="00DB5672">
        <w:t>stipulating mutual rights and obligations between UNDP and the municipality once the exact amounts of each contract have been determined through the procurement process</w:t>
      </w:r>
      <w:r w:rsidRPr="00DB5672">
        <w:t>.</w:t>
      </w:r>
      <w:r w:rsidR="006D5EEF" w:rsidRPr="00DB5672">
        <w:t xml:space="preserve"> Following the formation of the ranking list, the UNDP will undertake procurement of the required services, and the contracts will be awarded up to the maximum available funds for this Call for proposals.</w:t>
      </w:r>
    </w:p>
    <w:p w14:paraId="115FD921" w14:textId="77777777" w:rsidR="00132AEA" w:rsidRPr="00DB5672" w:rsidRDefault="00132AEA" w:rsidP="006D5EEF">
      <w:pPr>
        <w:jc w:val="both"/>
      </w:pPr>
      <w:r w:rsidRPr="00DB5672">
        <w:t>In cases where co-financing is necessary, Cost-sharing agreements with municipalities will have to be signed before the contract(s) with service providers.</w:t>
      </w:r>
    </w:p>
    <w:p w14:paraId="251971C6" w14:textId="20FF3BA7" w:rsidR="00132AEA" w:rsidRPr="004C4ABB" w:rsidRDefault="00132AEA" w:rsidP="006D5EEF">
      <w:pPr>
        <w:jc w:val="both"/>
      </w:pPr>
      <w:r w:rsidRPr="00DB5672">
        <w:t xml:space="preserve">In cases where </w:t>
      </w:r>
      <w:r w:rsidR="00236319" w:rsidRPr="00DB5672">
        <w:t>funding</w:t>
      </w:r>
      <w:r w:rsidRPr="00DB5672">
        <w:t xml:space="preserve"> is granted for projects applied for by more than one municipality, </w:t>
      </w:r>
      <w:r w:rsidR="00DB5672">
        <w:t>the Memorandum of Understanding</w:t>
      </w:r>
      <w:r w:rsidRPr="00DB5672">
        <w:t xml:space="preserve"> will be signed </w:t>
      </w:r>
      <w:r w:rsidR="00DB5672">
        <w:t>by</w:t>
      </w:r>
      <w:r w:rsidRPr="00DB5672">
        <w:t xml:space="preserve"> all municipalities participating in such partnership.</w:t>
      </w:r>
    </w:p>
    <w:p w14:paraId="5C2E87E7" w14:textId="77777777" w:rsidR="006D5EEF" w:rsidRPr="006D5EEF" w:rsidRDefault="006D5EEF" w:rsidP="006D5EEF">
      <w:pPr>
        <w:rPr>
          <w:b/>
        </w:rPr>
      </w:pPr>
    </w:p>
    <w:p w14:paraId="002093FF" w14:textId="77777777" w:rsidR="006D5EEF" w:rsidRDefault="006D5EEF" w:rsidP="006D5EEF">
      <w:pPr>
        <w:rPr>
          <w:b/>
        </w:rPr>
      </w:pPr>
      <w:r w:rsidRPr="006D5EEF">
        <w:rPr>
          <w:b/>
        </w:rPr>
        <w:t>2.4.2. Implementation: obligations of applicants, reporting, monitoring</w:t>
      </w:r>
    </w:p>
    <w:p w14:paraId="7CDA4066" w14:textId="77777777" w:rsidR="00132AEA" w:rsidRDefault="00132AEA" w:rsidP="006D5EEF">
      <w:pPr>
        <w:rPr>
          <w:b/>
        </w:rPr>
      </w:pPr>
    </w:p>
    <w:p w14:paraId="5BE5940C" w14:textId="3377BC80" w:rsidR="00132AEA" w:rsidRDefault="00025F42" w:rsidP="00AA4206">
      <w:pPr>
        <w:jc w:val="both"/>
      </w:pPr>
      <w:r w:rsidRPr="00025F42">
        <w:t>Each successful applicant will have to</w:t>
      </w:r>
      <w:r w:rsidR="004C4ABB">
        <w:t xml:space="preserve"> provide</w:t>
      </w:r>
      <w:r>
        <w:t xml:space="preserve"> at least one qualified person</w:t>
      </w:r>
      <w:r w:rsidR="004C4ABB">
        <w:t xml:space="preserve"> –</w:t>
      </w:r>
      <w:r>
        <w:t xml:space="preserve"> </w:t>
      </w:r>
      <w:r w:rsidR="004C4ABB">
        <w:t>a</w:t>
      </w:r>
      <w:r>
        <w:t xml:space="preserve"> designated contact person for both service providers (engineers, architects, etc.) and UNDP monitoring staff, including UNDP’s in-house engineer. This person should be capable of providing necessary information, documentation and all other support to the service providers in executing their tasks.</w:t>
      </w:r>
    </w:p>
    <w:p w14:paraId="116D767D" w14:textId="7104BF82" w:rsidR="00AA4206" w:rsidRDefault="00AA4206" w:rsidP="00AA4206">
      <w:pPr>
        <w:jc w:val="both"/>
      </w:pPr>
    </w:p>
    <w:p w14:paraId="2C4D6BFD" w14:textId="77777777" w:rsidR="00AA4206" w:rsidRDefault="00AA4206" w:rsidP="00AA4206">
      <w:pPr>
        <w:jc w:val="both"/>
      </w:pPr>
      <w:r>
        <w:t>Monitoring of the whole process will be carried out by the UNDP Project staff, with assistance from the UNDP’s in-house engineer.</w:t>
      </w:r>
    </w:p>
    <w:p w14:paraId="313487DA" w14:textId="77777777" w:rsidR="00AA4206" w:rsidRDefault="00AA4206" w:rsidP="00AA4206">
      <w:pPr>
        <w:jc w:val="both"/>
      </w:pPr>
    </w:p>
    <w:p w14:paraId="474C7FDA" w14:textId="35A5069F" w:rsidR="00AA4206" w:rsidRDefault="00AA4206" w:rsidP="00AA4206">
      <w:pPr>
        <w:jc w:val="both"/>
      </w:pPr>
      <w:r w:rsidRPr="00DB5672">
        <w:t>In cases where serious breaches of the terms of contract (Cost-sharing agreement</w:t>
      </w:r>
      <w:r w:rsidR="00DB5672" w:rsidRPr="00DB5672">
        <w:t>…</w:t>
      </w:r>
      <w:r w:rsidRPr="00DB5672">
        <w:t xml:space="preserve">) have been detected, UNDP reserves the right to cancel the agreement and, </w:t>
      </w:r>
      <w:r w:rsidR="00DB5672" w:rsidRPr="00DB5672">
        <w:t>if</w:t>
      </w:r>
      <w:r w:rsidRPr="00DB5672">
        <w:t xml:space="preserve"> possible, re-allocate the funds to another project / applicant.</w:t>
      </w:r>
    </w:p>
    <w:p w14:paraId="5CD196E0" w14:textId="77777777" w:rsidR="00AA4206" w:rsidRDefault="00AA4206" w:rsidP="00AA4206">
      <w:pPr>
        <w:jc w:val="both"/>
      </w:pPr>
    </w:p>
    <w:p w14:paraId="6F95F08E" w14:textId="16FBC340" w:rsidR="006D5EEF" w:rsidRPr="00EE14DB" w:rsidRDefault="00AA4206" w:rsidP="00AA4206">
      <w:pPr>
        <w:jc w:val="both"/>
      </w:pPr>
      <w:r>
        <w:lastRenderedPageBreak/>
        <w:t>Upon completion of tasks and delivery of the final product – set(s) of project technical documentation; the transfer of ownership over the final product will be carried out according to UNDP’s standard procedure</w:t>
      </w:r>
      <w:r w:rsidR="00DB5672">
        <w:t>s</w:t>
      </w:r>
      <w:r>
        <w:t>.</w:t>
      </w:r>
    </w:p>
    <w:sectPr w:rsidR="006D5EEF" w:rsidRPr="00EE14DB" w:rsidSect="004C3A81">
      <w:headerReference w:type="default" r:id="rId13"/>
      <w:footerReference w:type="default" r:id="rId14"/>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0BF2" w14:textId="77777777" w:rsidR="00145126" w:rsidRDefault="00145126">
      <w:pPr>
        <w:spacing w:line="240" w:lineRule="auto"/>
      </w:pPr>
      <w:r>
        <w:separator/>
      </w:r>
    </w:p>
  </w:endnote>
  <w:endnote w:type="continuationSeparator" w:id="0">
    <w:p w14:paraId="5CC0DC64" w14:textId="77777777" w:rsidR="00145126" w:rsidRDefault="00145126">
      <w:pPr>
        <w:spacing w:line="240" w:lineRule="auto"/>
      </w:pPr>
      <w:r>
        <w:continuationSeparator/>
      </w:r>
    </w:p>
  </w:endnote>
  <w:endnote w:type="continuationNotice" w:id="1">
    <w:p w14:paraId="716D8A8A" w14:textId="77777777" w:rsidR="00145126" w:rsidRDefault="00145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44041"/>
      <w:docPartObj>
        <w:docPartGallery w:val="Page Numbers (Bottom of Page)"/>
        <w:docPartUnique/>
      </w:docPartObj>
    </w:sdtPr>
    <w:sdtEndPr>
      <w:rPr>
        <w:noProof/>
      </w:rPr>
    </w:sdtEndPr>
    <w:sdtContent>
      <w:p w14:paraId="0D8CB31F" w14:textId="77777777" w:rsidR="00145126" w:rsidRDefault="0014512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9C058D8" w14:textId="77777777" w:rsidR="00145126" w:rsidRDefault="00145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ACD9" w14:textId="77777777" w:rsidR="00145126" w:rsidRDefault="00145126">
      <w:pPr>
        <w:spacing w:line="240" w:lineRule="auto"/>
      </w:pPr>
      <w:r>
        <w:separator/>
      </w:r>
    </w:p>
  </w:footnote>
  <w:footnote w:type="continuationSeparator" w:id="0">
    <w:p w14:paraId="7EA3B01E" w14:textId="77777777" w:rsidR="00145126" w:rsidRDefault="00145126">
      <w:pPr>
        <w:spacing w:line="240" w:lineRule="auto"/>
      </w:pPr>
      <w:r>
        <w:continuationSeparator/>
      </w:r>
    </w:p>
  </w:footnote>
  <w:footnote w:type="continuationNotice" w:id="1">
    <w:p w14:paraId="21564336" w14:textId="77777777" w:rsidR="00145126" w:rsidRDefault="00145126">
      <w:pPr>
        <w:spacing w:line="240" w:lineRule="auto"/>
      </w:pPr>
    </w:p>
  </w:footnote>
  <w:footnote w:id="2">
    <w:p w14:paraId="15795796" w14:textId="77777777" w:rsidR="00145126" w:rsidRDefault="00145126" w:rsidP="00917A25">
      <w:r>
        <w:rPr>
          <w:rStyle w:val="FootnoteReference"/>
        </w:rPr>
        <w:footnoteRef/>
      </w:r>
      <w:r>
        <w:t xml:space="preserve"> </w:t>
      </w:r>
      <w:r w:rsidRPr="009F6FAD">
        <w:rPr>
          <w:sz w:val="18"/>
          <w:szCs w:val="18"/>
        </w:rPr>
        <w:t>Programming→Identification→Formulation→Financing→Implementation→Evaluation→ (in a circular form)</w:t>
      </w:r>
    </w:p>
  </w:footnote>
  <w:footnote w:id="3">
    <w:p w14:paraId="6B21E37D" w14:textId="15EA07C1" w:rsidR="00145126" w:rsidRDefault="00145126">
      <w:pPr>
        <w:pStyle w:val="FootnoteText"/>
      </w:pPr>
      <w:r>
        <w:rPr>
          <w:rStyle w:val="FootnoteReference"/>
        </w:rPr>
        <w:footnoteRef/>
      </w:r>
      <w:r>
        <w:t xml:space="preserve"> </w:t>
      </w:r>
      <w:hyperlink r:id="rId1" w:history="1">
        <w:r w:rsidRPr="006B3E6F">
          <w:rPr>
            <w:rStyle w:val="Hyperlink"/>
          </w:rPr>
          <w:t>https://ec.europa.eu/docsroom/documents/15582/attachments/1/translations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0B67" w14:textId="537E3EA6" w:rsidR="00145126" w:rsidRDefault="00145126">
    <w:pPr>
      <w:pStyle w:val="Header"/>
    </w:pPr>
    <w:r>
      <w:rPr>
        <w:noProof/>
      </w:rPr>
      <w:drawing>
        <wp:anchor distT="0" distB="0" distL="114300" distR="114300" simplePos="0" relativeHeight="251658240" behindDoc="0" locked="0" layoutInCell="1" allowOverlap="1" wp14:anchorId="4714EFA3" wp14:editId="093A1D0E">
          <wp:simplePos x="0" y="0"/>
          <wp:positionH relativeFrom="column">
            <wp:posOffset>5558155</wp:posOffset>
          </wp:positionH>
          <wp:positionV relativeFrom="paragraph">
            <wp:posOffset>-97155</wp:posOffset>
          </wp:positionV>
          <wp:extent cx="428625" cy="8763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F98536B" wp14:editId="038A1391">
          <wp:extent cx="1416481" cy="411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274" cy="4210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5FD5"/>
    <w:multiLevelType w:val="hybridMultilevel"/>
    <w:tmpl w:val="981C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B295F"/>
    <w:multiLevelType w:val="hybridMultilevel"/>
    <w:tmpl w:val="C4BA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17EC8"/>
    <w:multiLevelType w:val="hybridMultilevel"/>
    <w:tmpl w:val="28E8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5274B"/>
    <w:multiLevelType w:val="hybridMultilevel"/>
    <w:tmpl w:val="35C0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83F36"/>
    <w:multiLevelType w:val="hybridMultilevel"/>
    <w:tmpl w:val="7D360F60"/>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F364C3"/>
    <w:multiLevelType w:val="hybridMultilevel"/>
    <w:tmpl w:val="AEA2FE14"/>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912091"/>
    <w:multiLevelType w:val="hybridMultilevel"/>
    <w:tmpl w:val="16865618"/>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1A264B"/>
    <w:multiLevelType w:val="hybridMultilevel"/>
    <w:tmpl w:val="8D4899BE"/>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12181B"/>
    <w:multiLevelType w:val="hybridMultilevel"/>
    <w:tmpl w:val="E92CCF2A"/>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1D2DAC"/>
    <w:multiLevelType w:val="hybridMultilevel"/>
    <w:tmpl w:val="D596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441DD"/>
    <w:multiLevelType w:val="hybridMultilevel"/>
    <w:tmpl w:val="E05A7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5F527C"/>
    <w:multiLevelType w:val="hybridMultilevel"/>
    <w:tmpl w:val="4DEA61C6"/>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895F62"/>
    <w:multiLevelType w:val="hybridMultilevel"/>
    <w:tmpl w:val="DB06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8215F"/>
    <w:multiLevelType w:val="hybridMultilevel"/>
    <w:tmpl w:val="CA06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17160"/>
    <w:multiLevelType w:val="hybridMultilevel"/>
    <w:tmpl w:val="B44E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21F15"/>
    <w:multiLevelType w:val="hybridMultilevel"/>
    <w:tmpl w:val="11FA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41473"/>
    <w:multiLevelType w:val="hybridMultilevel"/>
    <w:tmpl w:val="F614274A"/>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6735B7"/>
    <w:multiLevelType w:val="hybridMultilevel"/>
    <w:tmpl w:val="E30A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12C12"/>
    <w:multiLevelType w:val="hybridMultilevel"/>
    <w:tmpl w:val="C00A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B3F4D"/>
    <w:multiLevelType w:val="hybridMultilevel"/>
    <w:tmpl w:val="3CB6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C0A8C"/>
    <w:multiLevelType w:val="hybridMultilevel"/>
    <w:tmpl w:val="5470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6613A"/>
    <w:multiLevelType w:val="hybridMultilevel"/>
    <w:tmpl w:val="3C9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422517"/>
    <w:multiLevelType w:val="hybridMultilevel"/>
    <w:tmpl w:val="599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C0D74"/>
    <w:multiLevelType w:val="hybridMultilevel"/>
    <w:tmpl w:val="B55C3516"/>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DA3AFE"/>
    <w:multiLevelType w:val="hybridMultilevel"/>
    <w:tmpl w:val="AB241122"/>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15"/>
  </w:num>
  <w:num w:numId="5">
    <w:abstractNumId w:val="21"/>
  </w:num>
  <w:num w:numId="6">
    <w:abstractNumId w:val="2"/>
  </w:num>
  <w:num w:numId="7">
    <w:abstractNumId w:val="0"/>
  </w:num>
  <w:num w:numId="8">
    <w:abstractNumId w:val="19"/>
  </w:num>
  <w:num w:numId="9">
    <w:abstractNumId w:val="13"/>
  </w:num>
  <w:num w:numId="10">
    <w:abstractNumId w:val="18"/>
  </w:num>
  <w:num w:numId="11">
    <w:abstractNumId w:val="3"/>
  </w:num>
  <w:num w:numId="12">
    <w:abstractNumId w:val="12"/>
  </w:num>
  <w:num w:numId="13">
    <w:abstractNumId w:val="17"/>
  </w:num>
  <w:num w:numId="14">
    <w:abstractNumId w:val="22"/>
  </w:num>
  <w:num w:numId="15">
    <w:abstractNumId w:val="9"/>
  </w:num>
  <w:num w:numId="16">
    <w:abstractNumId w:val="1"/>
  </w:num>
  <w:num w:numId="17">
    <w:abstractNumId w:val="20"/>
  </w:num>
  <w:num w:numId="18">
    <w:abstractNumId w:val="19"/>
  </w:num>
  <w:num w:numId="19">
    <w:abstractNumId w:val="24"/>
  </w:num>
  <w:num w:numId="20">
    <w:abstractNumId w:val="7"/>
  </w:num>
  <w:num w:numId="21">
    <w:abstractNumId w:val="8"/>
  </w:num>
  <w:num w:numId="22">
    <w:abstractNumId w:val="6"/>
  </w:num>
  <w:num w:numId="23">
    <w:abstractNumId w:val="11"/>
  </w:num>
  <w:num w:numId="24">
    <w:abstractNumId w:val="23"/>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CB"/>
    <w:rsid w:val="00004BBA"/>
    <w:rsid w:val="00005811"/>
    <w:rsid w:val="00025F42"/>
    <w:rsid w:val="00072370"/>
    <w:rsid w:val="00075170"/>
    <w:rsid w:val="000842AE"/>
    <w:rsid w:val="00093A3C"/>
    <w:rsid w:val="000A3CDF"/>
    <w:rsid w:val="000A4558"/>
    <w:rsid w:val="000A6799"/>
    <w:rsid w:val="000C593E"/>
    <w:rsid w:val="000D0139"/>
    <w:rsid w:val="000D3CF2"/>
    <w:rsid w:val="0011258F"/>
    <w:rsid w:val="0013294D"/>
    <w:rsid w:val="00132AEA"/>
    <w:rsid w:val="0013677F"/>
    <w:rsid w:val="00145126"/>
    <w:rsid w:val="00152DFF"/>
    <w:rsid w:val="00182076"/>
    <w:rsid w:val="001827C7"/>
    <w:rsid w:val="0019024B"/>
    <w:rsid w:val="00192772"/>
    <w:rsid w:val="001A08A5"/>
    <w:rsid w:val="001B6741"/>
    <w:rsid w:val="001E4A1E"/>
    <w:rsid w:val="00202411"/>
    <w:rsid w:val="00204487"/>
    <w:rsid w:val="0020508B"/>
    <w:rsid w:val="00210E76"/>
    <w:rsid w:val="00227B6D"/>
    <w:rsid w:val="00233D05"/>
    <w:rsid w:val="00236319"/>
    <w:rsid w:val="00237C77"/>
    <w:rsid w:val="002414BC"/>
    <w:rsid w:val="00254D93"/>
    <w:rsid w:val="0028556A"/>
    <w:rsid w:val="002B0FB1"/>
    <w:rsid w:val="002C37ED"/>
    <w:rsid w:val="002E4366"/>
    <w:rsid w:val="002F26D2"/>
    <w:rsid w:val="003001F0"/>
    <w:rsid w:val="003102B9"/>
    <w:rsid w:val="00327D17"/>
    <w:rsid w:val="00330900"/>
    <w:rsid w:val="003469AA"/>
    <w:rsid w:val="003520F3"/>
    <w:rsid w:val="003543DE"/>
    <w:rsid w:val="003746CD"/>
    <w:rsid w:val="00374BCB"/>
    <w:rsid w:val="00377192"/>
    <w:rsid w:val="00392EE2"/>
    <w:rsid w:val="003A281D"/>
    <w:rsid w:val="003D7850"/>
    <w:rsid w:val="003E3CE4"/>
    <w:rsid w:val="003F235E"/>
    <w:rsid w:val="00402C11"/>
    <w:rsid w:val="0040777C"/>
    <w:rsid w:val="00434E5C"/>
    <w:rsid w:val="0043575D"/>
    <w:rsid w:val="00436C87"/>
    <w:rsid w:val="0044635D"/>
    <w:rsid w:val="00453635"/>
    <w:rsid w:val="00475319"/>
    <w:rsid w:val="004A52D5"/>
    <w:rsid w:val="004A704B"/>
    <w:rsid w:val="004B0F72"/>
    <w:rsid w:val="004C2630"/>
    <w:rsid w:val="004C3236"/>
    <w:rsid w:val="004C3A81"/>
    <w:rsid w:val="004C4ABB"/>
    <w:rsid w:val="004D2926"/>
    <w:rsid w:val="004D496B"/>
    <w:rsid w:val="004F733A"/>
    <w:rsid w:val="00506783"/>
    <w:rsid w:val="00533D29"/>
    <w:rsid w:val="00536425"/>
    <w:rsid w:val="0053747C"/>
    <w:rsid w:val="00542218"/>
    <w:rsid w:val="005439B8"/>
    <w:rsid w:val="00546BFA"/>
    <w:rsid w:val="0058333F"/>
    <w:rsid w:val="00592577"/>
    <w:rsid w:val="005A454D"/>
    <w:rsid w:val="005C0E59"/>
    <w:rsid w:val="005D1A05"/>
    <w:rsid w:val="005D3527"/>
    <w:rsid w:val="005E1BA6"/>
    <w:rsid w:val="005E7281"/>
    <w:rsid w:val="006040F0"/>
    <w:rsid w:val="00612C13"/>
    <w:rsid w:val="00642B3F"/>
    <w:rsid w:val="00643611"/>
    <w:rsid w:val="00697CDB"/>
    <w:rsid w:val="006D1918"/>
    <w:rsid w:val="006D5EEF"/>
    <w:rsid w:val="006F2FB8"/>
    <w:rsid w:val="00752A13"/>
    <w:rsid w:val="0075542B"/>
    <w:rsid w:val="00756C79"/>
    <w:rsid w:val="00757722"/>
    <w:rsid w:val="007704A6"/>
    <w:rsid w:val="007A31C7"/>
    <w:rsid w:val="007C1069"/>
    <w:rsid w:val="007E5206"/>
    <w:rsid w:val="007F63CA"/>
    <w:rsid w:val="00821F2A"/>
    <w:rsid w:val="00844946"/>
    <w:rsid w:val="00845D90"/>
    <w:rsid w:val="00850B66"/>
    <w:rsid w:val="00852934"/>
    <w:rsid w:val="0085310F"/>
    <w:rsid w:val="00856187"/>
    <w:rsid w:val="008619F8"/>
    <w:rsid w:val="00862CC9"/>
    <w:rsid w:val="008C6622"/>
    <w:rsid w:val="008E01F6"/>
    <w:rsid w:val="008F24AB"/>
    <w:rsid w:val="008F5109"/>
    <w:rsid w:val="00914A78"/>
    <w:rsid w:val="00917A25"/>
    <w:rsid w:val="0092143A"/>
    <w:rsid w:val="0092155C"/>
    <w:rsid w:val="009526C6"/>
    <w:rsid w:val="00960703"/>
    <w:rsid w:val="009A1C21"/>
    <w:rsid w:val="009A2D76"/>
    <w:rsid w:val="009C3478"/>
    <w:rsid w:val="009F63F6"/>
    <w:rsid w:val="00A33097"/>
    <w:rsid w:val="00A47324"/>
    <w:rsid w:val="00A73419"/>
    <w:rsid w:val="00A76C67"/>
    <w:rsid w:val="00A928E0"/>
    <w:rsid w:val="00A93B13"/>
    <w:rsid w:val="00AA3704"/>
    <w:rsid w:val="00AA4206"/>
    <w:rsid w:val="00AC5A0D"/>
    <w:rsid w:val="00AC766C"/>
    <w:rsid w:val="00AE1ED7"/>
    <w:rsid w:val="00B05FE5"/>
    <w:rsid w:val="00B15B78"/>
    <w:rsid w:val="00B212C4"/>
    <w:rsid w:val="00B72416"/>
    <w:rsid w:val="00B73BC2"/>
    <w:rsid w:val="00B7430E"/>
    <w:rsid w:val="00BA678F"/>
    <w:rsid w:val="00BC700E"/>
    <w:rsid w:val="00BE0E2D"/>
    <w:rsid w:val="00BE65BB"/>
    <w:rsid w:val="00BE7189"/>
    <w:rsid w:val="00C453E4"/>
    <w:rsid w:val="00C8146D"/>
    <w:rsid w:val="00CB3307"/>
    <w:rsid w:val="00CD61F0"/>
    <w:rsid w:val="00CE3AD9"/>
    <w:rsid w:val="00CE7359"/>
    <w:rsid w:val="00CF20DC"/>
    <w:rsid w:val="00CF566A"/>
    <w:rsid w:val="00D053D4"/>
    <w:rsid w:val="00D12EF4"/>
    <w:rsid w:val="00D23DA3"/>
    <w:rsid w:val="00D4522D"/>
    <w:rsid w:val="00D51F03"/>
    <w:rsid w:val="00D70B7C"/>
    <w:rsid w:val="00DB2F04"/>
    <w:rsid w:val="00DB5672"/>
    <w:rsid w:val="00E05999"/>
    <w:rsid w:val="00E05FD5"/>
    <w:rsid w:val="00E1331B"/>
    <w:rsid w:val="00E17194"/>
    <w:rsid w:val="00E2395D"/>
    <w:rsid w:val="00E24956"/>
    <w:rsid w:val="00E33166"/>
    <w:rsid w:val="00E332FB"/>
    <w:rsid w:val="00E42664"/>
    <w:rsid w:val="00E50FA2"/>
    <w:rsid w:val="00E62A3F"/>
    <w:rsid w:val="00E70BD3"/>
    <w:rsid w:val="00E777FF"/>
    <w:rsid w:val="00E945F7"/>
    <w:rsid w:val="00EB6B8D"/>
    <w:rsid w:val="00EE14DB"/>
    <w:rsid w:val="00F06EBE"/>
    <w:rsid w:val="00F103D8"/>
    <w:rsid w:val="00F171B0"/>
    <w:rsid w:val="00F35508"/>
    <w:rsid w:val="00F60269"/>
    <w:rsid w:val="00F71FCD"/>
    <w:rsid w:val="00F953CF"/>
    <w:rsid w:val="00FA182F"/>
    <w:rsid w:val="00FB2DC3"/>
    <w:rsid w:val="00FF4A7F"/>
    <w:rsid w:val="00FF5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D03A"/>
  <w15:docId w15:val="{DE63CAB4-130F-4E10-AD86-A43DB221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CB"/>
    <w:pPr>
      <w:tabs>
        <w:tab w:val="center" w:pos="4536"/>
        <w:tab w:val="right" w:pos="9072"/>
      </w:tabs>
      <w:spacing w:line="240" w:lineRule="auto"/>
    </w:pPr>
  </w:style>
  <w:style w:type="character" w:customStyle="1" w:styleId="HeaderChar">
    <w:name w:val="Header Char"/>
    <w:basedOn w:val="DefaultParagraphFont"/>
    <w:link w:val="Header"/>
    <w:uiPriority w:val="99"/>
    <w:rsid w:val="00374BCB"/>
  </w:style>
  <w:style w:type="paragraph" w:styleId="Footer">
    <w:name w:val="footer"/>
    <w:basedOn w:val="Normal"/>
    <w:link w:val="FooterChar"/>
    <w:uiPriority w:val="99"/>
    <w:unhideWhenUsed/>
    <w:rsid w:val="00374BCB"/>
    <w:pPr>
      <w:tabs>
        <w:tab w:val="center" w:pos="4536"/>
        <w:tab w:val="right" w:pos="9072"/>
      </w:tabs>
      <w:spacing w:line="240" w:lineRule="auto"/>
    </w:pPr>
  </w:style>
  <w:style w:type="character" w:customStyle="1" w:styleId="FooterChar">
    <w:name w:val="Footer Char"/>
    <w:basedOn w:val="DefaultParagraphFont"/>
    <w:link w:val="Footer"/>
    <w:uiPriority w:val="99"/>
    <w:rsid w:val="00374BCB"/>
  </w:style>
  <w:style w:type="character" w:styleId="CommentReference">
    <w:name w:val="annotation reference"/>
    <w:basedOn w:val="DefaultParagraphFont"/>
    <w:uiPriority w:val="99"/>
    <w:semiHidden/>
    <w:unhideWhenUsed/>
    <w:rsid w:val="00917A25"/>
    <w:rPr>
      <w:sz w:val="16"/>
      <w:szCs w:val="16"/>
    </w:rPr>
  </w:style>
  <w:style w:type="paragraph" w:styleId="CommentText">
    <w:name w:val="annotation text"/>
    <w:basedOn w:val="Normal"/>
    <w:link w:val="CommentTextChar"/>
    <w:uiPriority w:val="99"/>
    <w:semiHidden/>
    <w:unhideWhenUsed/>
    <w:rsid w:val="00917A25"/>
    <w:pPr>
      <w:spacing w:line="240" w:lineRule="auto"/>
    </w:pPr>
    <w:rPr>
      <w:sz w:val="20"/>
      <w:szCs w:val="20"/>
    </w:rPr>
  </w:style>
  <w:style w:type="character" w:customStyle="1" w:styleId="CommentTextChar">
    <w:name w:val="Comment Text Char"/>
    <w:basedOn w:val="DefaultParagraphFont"/>
    <w:link w:val="CommentText"/>
    <w:uiPriority w:val="99"/>
    <w:semiHidden/>
    <w:rsid w:val="00917A25"/>
    <w:rPr>
      <w:sz w:val="20"/>
      <w:szCs w:val="20"/>
    </w:rPr>
  </w:style>
  <w:style w:type="paragraph" w:styleId="CommentSubject">
    <w:name w:val="annotation subject"/>
    <w:basedOn w:val="CommentText"/>
    <w:next w:val="CommentText"/>
    <w:link w:val="CommentSubjectChar"/>
    <w:uiPriority w:val="99"/>
    <w:semiHidden/>
    <w:unhideWhenUsed/>
    <w:rsid w:val="00917A25"/>
    <w:rPr>
      <w:b/>
      <w:bCs/>
    </w:rPr>
  </w:style>
  <w:style w:type="character" w:customStyle="1" w:styleId="CommentSubjectChar">
    <w:name w:val="Comment Subject Char"/>
    <w:basedOn w:val="CommentTextChar"/>
    <w:link w:val="CommentSubject"/>
    <w:uiPriority w:val="99"/>
    <w:semiHidden/>
    <w:rsid w:val="00917A25"/>
    <w:rPr>
      <w:b/>
      <w:bCs/>
      <w:sz w:val="20"/>
      <w:szCs w:val="20"/>
    </w:rPr>
  </w:style>
  <w:style w:type="paragraph" w:styleId="BalloonText">
    <w:name w:val="Balloon Text"/>
    <w:basedOn w:val="Normal"/>
    <w:link w:val="BalloonTextChar"/>
    <w:uiPriority w:val="99"/>
    <w:semiHidden/>
    <w:unhideWhenUsed/>
    <w:rsid w:val="00917A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25"/>
    <w:rPr>
      <w:rFonts w:ascii="Segoe UI" w:hAnsi="Segoe UI" w:cs="Segoe UI"/>
      <w:sz w:val="18"/>
      <w:szCs w:val="18"/>
    </w:rPr>
  </w:style>
  <w:style w:type="character" w:styleId="FootnoteReference">
    <w:name w:val="footnote reference"/>
    <w:basedOn w:val="DefaultParagraphFont"/>
    <w:uiPriority w:val="99"/>
    <w:semiHidden/>
    <w:unhideWhenUsed/>
    <w:rsid w:val="00917A25"/>
    <w:rPr>
      <w:vertAlign w:val="superscript"/>
    </w:rPr>
  </w:style>
  <w:style w:type="paragraph" w:styleId="ListParagraph">
    <w:name w:val="List Paragraph"/>
    <w:basedOn w:val="Normal"/>
    <w:uiPriority w:val="34"/>
    <w:qFormat/>
    <w:rsid w:val="00237C77"/>
    <w:pPr>
      <w:ind w:left="720"/>
      <w:contextualSpacing/>
    </w:pPr>
  </w:style>
  <w:style w:type="paragraph" w:styleId="FootnoteText">
    <w:name w:val="footnote text"/>
    <w:basedOn w:val="Normal"/>
    <w:link w:val="FootnoteTextChar"/>
    <w:uiPriority w:val="99"/>
    <w:semiHidden/>
    <w:unhideWhenUsed/>
    <w:rsid w:val="00A93B13"/>
    <w:pPr>
      <w:spacing w:line="240" w:lineRule="auto"/>
    </w:pPr>
    <w:rPr>
      <w:sz w:val="20"/>
      <w:szCs w:val="20"/>
    </w:rPr>
  </w:style>
  <w:style w:type="character" w:customStyle="1" w:styleId="FootnoteTextChar">
    <w:name w:val="Footnote Text Char"/>
    <w:basedOn w:val="DefaultParagraphFont"/>
    <w:link w:val="FootnoteText"/>
    <w:uiPriority w:val="99"/>
    <w:semiHidden/>
    <w:rsid w:val="00A93B13"/>
    <w:rPr>
      <w:sz w:val="20"/>
      <w:szCs w:val="20"/>
    </w:rPr>
  </w:style>
  <w:style w:type="character" w:styleId="Hyperlink">
    <w:name w:val="Hyperlink"/>
    <w:basedOn w:val="DefaultParagraphFont"/>
    <w:uiPriority w:val="99"/>
    <w:unhideWhenUsed/>
    <w:rsid w:val="004A704B"/>
    <w:rPr>
      <w:color w:val="0000FF" w:themeColor="hyperlink"/>
      <w:u w:val="single"/>
    </w:rPr>
  </w:style>
  <w:style w:type="table" w:styleId="TableGrid">
    <w:name w:val="Table Grid"/>
    <w:basedOn w:val="TableNormal"/>
    <w:uiPriority w:val="59"/>
    <w:rsid w:val="007554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2C11"/>
    <w:pPr>
      <w:spacing w:line="240" w:lineRule="auto"/>
    </w:pPr>
    <w:rPr>
      <w:lang w:val="en-US"/>
    </w:rPr>
  </w:style>
  <w:style w:type="character" w:styleId="UnresolvedMention">
    <w:name w:val="Unresolved Mention"/>
    <w:basedOn w:val="DefaultParagraphFont"/>
    <w:uiPriority w:val="99"/>
    <w:semiHidden/>
    <w:unhideWhenUsed/>
    <w:rsid w:val="00845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lip.nelkovski@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okalenrazvoj.m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ocsroom/documents/15582/attachments/1/transl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254850564824AA19271E845BBB3BA" ma:contentTypeVersion="11" ma:contentTypeDescription="Create a new document." ma:contentTypeScope="" ma:versionID="4217cbd1e244621a7d7ee79572a72f37">
  <xsd:schema xmlns:xsd="http://www.w3.org/2001/XMLSchema" xmlns:xs="http://www.w3.org/2001/XMLSchema" xmlns:p="http://schemas.microsoft.com/office/2006/metadata/properties" xmlns:ns3="8aa23731-093b-4ddb-b332-05780261e679" xmlns:ns4="c4216917-a9fa-4543-ba19-d8e06bbe6271" targetNamespace="http://schemas.microsoft.com/office/2006/metadata/properties" ma:root="true" ma:fieldsID="080d11eba1b397beb502c89f11b2f81c" ns3:_="" ns4:_="">
    <xsd:import namespace="8aa23731-093b-4ddb-b332-05780261e679"/>
    <xsd:import namespace="c4216917-a9fa-4543-ba19-d8e06bbe62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23731-093b-4ddb-b332-05780261e6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16917-a9fa-4543-ba19-d8e06bbe627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FDD8-1A36-4FF7-9D70-F51950987B06}">
  <ds:schemaRefs>
    <ds:schemaRef ds:uri="c4216917-a9fa-4543-ba19-d8e06bbe627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aa23731-093b-4ddb-b332-05780261e679"/>
    <ds:schemaRef ds:uri="http://www.w3.org/XML/1998/namespace"/>
    <ds:schemaRef ds:uri="http://purl.org/dc/terms/"/>
  </ds:schemaRefs>
</ds:datastoreItem>
</file>

<file path=customXml/itemProps2.xml><?xml version="1.0" encoding="utf-8"?>
<ds:datastoreItem xmlns:ds="http://schemas.openxmlformats.org/officeDocument/2006/customXml" ds:itemID="{999B07CD-2FBB-4B39-8ED4-7915DB9BD715}">
  <ds:schemaRefs>
    <ds:schemaRef ds:uri="http://schemas.microsoft.com/sharepoint/v3/contenttype/forms"/>
  </ds:schemaRefs>
</ds:datastoreItem>
</file>

<file path=customXml/itemProps3.xml><?xml version="1.0" encoding="utf-8"?>
<ds:datastoreItem xmlns:ds="http://schemas.openxmlformats.org/officeDocument/2006/customXml" ds:itemID="{6BE1F977-4774-4070-AB87-18408D054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23731-093b-4ddb-b332-05780261e679"/>
    <ds:schemaRef ds:uri="c4216917-a9fa-4543-ba19-d8e06bbe6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C3AA0-FC42-4AF8-9859-3695DEC9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3183</Words>
  <Characters>18146</Characters>
  <Application>Microsoft Office Word</Application>
  <DocSecurity>0</DocSecurity>
  <Lines>151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Marijan Djima</cp:lastModifiedBy>
  <cp:revision>5</cp:revision>
  <cp:lastPrinted>2019-09-16T07:42:00Z</cp:lastPrinted>
  <dcterms:created xsi:type="dcterms:W3CDTF">2019-10-08T09:06:00Z</dcterms:created>
  <dcterms:modified xsi:type="dcterms:W3CDTF">2019-11-12T08:36:00Z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0x010100DFD254850564824AA19271E845BBB3BA</vt:lpwstr>
  </property>
</Properties>
</file>